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62A2" w14:textId="4119FB15" w:rsidR="007F0CAC" w:rsidRPr="00F272EE" w:rsidRDefault="007F0CAC">
      <w:pPr>
        <w:rPr>
          <w:lang w:val="en-GB"/>
        </w:rPr>
      </w:pPr>
    </w:p>
    <w:p w14:paraId="10A79348" w14:textId="77777777" w:rsidR="005B2200" w:rsidRPr="00F272EE" w:rsidRDefault="005B2200">
      <w:pPr>
        <w:rPr>
          <w:lang w:val="en-GB"/>
        </w:rPr>
      </w:pPr>
    </w:p>
    <w:p w14:paraId="07C9EE00" w14:textId="77777777" w:rsidR="005B2200" w:rsidRPr="00F272EE" w:rsidRDefault="005B2200">
      <w:pPr>
        <w:rPr>
          <w:lang w:val="en-GB"/>
        </w:rPr>
      </w:pPr>
    </w:p>
    <w:p w14:paraId="68BC3C5B" w14:textId="77777777" w:rsidR="005B2200" w:rsidRPr="00F272EE" w:rsidRDefault="005B2200" w:rsidP="005B2200">
      <w:pPr>
        <w:pStyle w:val="Style24ptBoldCentered"/>
        <w:jc w:val="left"/>
        <w:rPr>
          <w:rFonts w:cs="Arial"/>
          <w:lang w:val="en-GB"/>
        </w:rPr>
      </w:pPr>
    </w:p>
    <w:p w14:paraId="18645E68" w14:textId="77777777" w:rsidR="005B2200" w:rsidRPr="00F272EE" w:rsidRDefault="005B2200" w:rsidP="005B2200">
      <w:pPr>
        <w:pStyle w:val="Style24ptBoldCentered"/>
        <w:jc w:val="left"/>
        <w:rPr>
          <w:rFonts w:cs="Arial"/>
          <w:lang w:val="en-GB"/>
        </w:rPr>
      </w:pPr>
    </w:p>
    <w:p w14:paraId="5D866C1C" w14:textId="4B132703" w:rsidR="005B2200" w:rsidRPr="00C04B17" w:rsidRDefault="004D4537" w:rsidP="00C04B17">
      <w:pPr>
        <w:pStyle w:val="Style24ptBoldCentered"/>
        <w:jc w:val="left"/>
        <w:rPr>
          <w:rFonts w:cs="Arial"/>
          <w:lang w:val="en-GB"/>
        </w:rPr>
      </w:pPr>
      <w:r>
        <w:rPr>
          <w:rFonts w:cs="Arial"/>
          <w:lang w:val="en-GB"/>
        </w:rPr>
        <w:t xml:space="preserve">Complaints </w:t>
      </w:r>
      <w:r w:rsidR="003C589A">
        <w:rPr>
          <w:rFonts w:cs="Arial"/>
          <w:lang w:val="en-GB"/>
        </w:rPr>
        <w:t>Management</w:t>
      </w:r>
    </w:p>
    <w:p w14:paraId="08EE4E15" w14:textId="77777777" w:rsidR="005B2200" w:rsidRPr="00F272EE" w:rsidRDefault="005B2200" w:rsidP="005B2200">
      <w:pPr>
        <w:rPr>
          <w:sz w:val="48"/>
          <w:szCs w:val="48"/>
          <w:lang w:val="en-GB"/>
        </w:rPr>
      </w:pPr>
    </w:p>
    <w:p w14:paraId="39364249" w14:textId="77777777" w:rsidR="005B2200" w:rsidRPr="00F272EE" w:rsidRDefault="005B2200" w:rsidP="005B2200">
      <w:pPr>
        <w:rPr>
          <w:sz w:val="48"/>
          <w:szCs w:val="48"/>
          <w:lang w:val="en-GB"/>
        </w:rPr>
      </w:pPr>
    </w:p>
    <w:p w14:paraId="7199CF5F" w14:textId="77777777" w:rsidR="005B2200" w:rsidRPr="00F272EE" w:rsidRDefault="005B2200" w:rsidP="005B2200">
      <w:pPr>
        <w:rPr>
          <w:sz w:val="48"/>
          <w:szCs w:val="48"/>
          <w:lang w:val="en-GB"/>
        </w:rPr>
      </w:pPr>
    </w:p>
    <w:p w14:paraId="34B55C15" w14:textId="4CE193C8" w:rsidR="005B2200" w:rsidRPr="00F272EE" w:rsidRDefault="005B2200" w:rsidP="005B2200">
      <w:pPr>
        <w:rPr>
          <w:sz w:val="24"/>
          <w:szCs w:val="48"/>
          <w:lang w:val="en-GB"/>
        </w:rPr>
      </w:pPr>
      <w:r w:rsidRPr="00F272EE">
        <w:rPr>
          <w:b/>
          <w:sz w:val="24"/>
          <w:szCs w:val="48"/>
          <w:lang w:val="en-GB"/>
        </w:rPr>
        <w:t>Version</w:t>
      </w:r>
      <w:r w:rsidRPr="00F272EE">
        <w:rPr>
          <w:b/>
          <w:sz w:val="24"/>
          <w:szCs w:val="48"/>
          <w:lang w:val="en-GB"/>
        </w:rPr>
        <w:tab/>
      </w:r>
      <w:r w:rsidR="003C589A">
        <w:rPr>
          <w:sz w:val="24"/>
          <w:szCs w:val="48"/>
          <w:lang w:val="en-GB"/>
        </w:rPr>
        <w:t>0</w:t>
      </w:r>
      <w:r w:rsidR="00AB7B47">
        <w:rPr>
          <w:sz w:val="24"/>
          <w:szCs w:val="48"/>
          <w:lang w:val="en-GB"/>
        </w:rPr>
        <w:t>.</w:t>
      </w:r>
      <w:r w:rsidR="003C589A">
        <w:rPr>
          <w:sz w:val="24"/>
          <w:szCs w:val="48"/>
          <w:lang w:val="en-GB"/>
        </w:rPr>
        <w:t>1</w:t>
      </w:r>
    </w:p>
    <w:p w14:paraId="2C9A731D" w14:textId="77777777" w:rsidR="005B2200" w:rsidRPr="00F272EE" w:rsidRDefault="005B2200" w:rsidP="005B2200">
      <w:pPr>
        <w:rPr>
          <w:sz w:val="24"/>
          <w:szCs w:val="48"/>
          <w:lang w:val="en-GB"/>
        </w:rPr>
      </w:pPr>
    </w:p>
    <w:p w14:paraId="3C3EDF13" w14:textId="6CEF59C5" w:rsidR="00B74BEE" w:rsidRPr="00F272EE" w:rsidRDefault="005B2200" w:rsidP="005B2200">
      <w:pPr>
        <w:rPr>
          <w:sz w:val="24"/>
          <w:szCs w:val="48"/>
          <w:lang w:val="en-GB"/>
        </w:rPr>
      </w:pPr>
      <w:r w:rsidRPr="00F272EE">
        <w:rPr>
          <w:b/>
          <w:sz w:val="24"/>
          <w:szCs w:val="48"/>
          <w:lang w:val="en-GB"/>
        </w:rPr>
        <w:t>Date</w:t>
      </w:r>
      <w:r w:rsidRPr="00F272EE">
        <w:rPr>
          <w:b/>
          <w:sz w:val="24"/>
          <w:szCs w:val="48"/>
          <w:lang w:val="en-GB"/>
        </w:rPr>
        <w:tab/>
      </w:r>
      <w:r w:rsidRPr="00F272EE">
        <w:rPr>
          <w:b/>
          <w:sz w:val="24"/>
          <w:szCs w:val="48"/>
          <w:lang w:val="en-GB"/>
        </w:rPr>
        <w:tab/>
      </w:r>
      <w:r w:rsidR="003C589A" w:rsidRPr="003C589A">
        <w:rPr>
          <w:bCs/>
          <w:sz w:val="24"/>
          <w:szCs w:val="48"/>
          <w:lang w:val="en-GB"/>
        </w:rPr>
        <w:t>30</w:t>
      </w:r>
      <w:r w:rsidR="009252B8" w:rsidRPr="009252B8">
        <w:rPr>
          <w:sz w:val="24"/>
          <w:szCs w:val="48"/>
          <w:vertAlign w:val="superscript"/>
          <w:lang w:val="en-GB"/>
        </w:rPr>
        <w:t>th</w:t>
      </w:r>
      <w:r w:rsidR="009252B8">
        <w:rPr>
          <w:sz w:val="24"/>
          <w:szCs w:val="48"/>
          <w:lang w:val="en-GB"/>
        </w:rPr>
        <w:t xml:space="preserve"> </w:t>
      </w:r>
      <w:r w:rsidR="003C589A">
        <w:rPr>
          <w:sz w:val="24"/>
          <w:szCs w:val="48"/>
          <w:lang w:val="en-GB"/>
        </w:rPr>
        <w:t>November</w:t>
      </w:r>
      <w:r w:rsidR="009252B8">
        <w:rPr>
          <w:sz w:val="24"/>
          <w:szCs w:val="48"/>
          <w:lang w:val="en-GB"/>
        </w:rPr>
        <w:t xml:space="preserve"> 2022</w:t>
      </w:r>
    </w:p>
    <w:p w14:paraId="5300B6F0" w14:textId="77777777" w:rsidR="00B74BEE" w:rsidRPr="00F272EE" w:rsidRDefault="00B74BEE">
      <w:pPr>
        <w:widowControl/>
        <w:overflowPunct/>
        <w:autoSpaceDE/>
        <w:autoSpaceDN/>
        <w:adjustRightInd/>
        <w:spacing w:after="160" w:line="259" w:lineRule="auto"/>
        <w:textAlignment w:val="auto"/>
        <w:rPr>
          <w:sz w:val="24"/>
          <w:szCs w:val="48"/>
          <w:lang w:val="en-GB"/>
        </w:rPr>
      </w:pPr>
      <w:r w:rsidRPr="00F272EE">
        <w:rPr>
          <w:sz w:val="24"/>
          <w:szCs w:val="48"/>
          <w:lang w:val="en-GB"/>
        </w:rPr>
        <w:br w:type="page"/>
      </w:r>
    </w:p>
    <w:sdt>
      <w:sdtPr>
        <w:rPr>
          <w:rFonts w:ascii="Arial" w:eastAsia="Times New Roman" w:hAnsi="Arial" w:cs="Times New Roman"/>
          <w:color w:val="auto"/>
          <w:sz w:val="20"/>
          <w:szCs w:val="20"/>
          <w:lang w:val="en-GB" w:eastAsia="en-GB"/>
        </w:rPr>
        <w:id w:val="10878136"/>
        <w:docPartObj>
          <w:docPartGallery w:val="Table of Contents"/>
          <w:docPartUnique/>
        </w:docPartObj>
      </w:sdtPr>
      <w:sdtEndPr>
        <w:rPr>
          <w:b/>
          <w:bCs/>
          <w:noProof/>
        </w:rPr>
      </w:sdtEndPr>
      <w:sdtContent>
        <w:p w14:paraId="5D7709A0" w14:textId="77777777" w:rsidR="0064733F" w:rsidRPr="00F272EE" w:rsidRDefault="0064733F">
          <w:pPr>
            <w:pStyle w:val="TOCHeading"/>
            <w:rPr>
              <w:rFonts w:ascii="Arial" w:hAnsi="Arial"/>
              <w:b/>
              <w:sz w:val="22"/>
              <w:lang w:val="en-GB"/>
            </w:rPr>
          </w:pPr>
          <w:r w:rsidRPr="00F272EE">
            <w:rPr>
              <w:rFonts w:ascii="Arial" w:hAnsi="Arial"/>
              <w:b/>
              <w:sz w:val="22"/>
              <w:lang w:val="en-GB"/>
            </w:rPr>
            <w:t>Contents</w:t>
          </w:r>
        </w:p>
        <w:p w14:paraId="3AB9234E" w14:textId="77777777" w:rsidR="00F34A36" w:rsidRPr="00F272EE" w:rsidRDefault="00F34A36" w:rsidP="00F34A36">
          <w:pPr>
            <w:rPr>
              <w:lang w:val="en-GB" w:eastAsia="en-US"/>
            </w:rPr>
          </w:pPr>
        </w:p>
        <w:p w14:paraId="6B8C3B8E" w14:textId="77777777" w:rsidR="00104919" w:rsidRDefault="0064733F">
          <w:pPr>
            <w:pStyle w:val="TOC1"/>
            <w:tabs>
              <w:tab w:val="right" w:leader="dot" w:pos="9016"/>
            </w:tabs>
            <w:rPr>
              <w:rFonts w:asciiTheme="minorHAnsi" w:eastAsiaTheme="minorEastAsia" w:hAnsiTheme="minorHAnsi" w:cstheme="minorBidi"/>
              <w:noProof/>
              <w:sz w:val="22"/>
              <w:szCs w:val="22"/>
              <w:lang w:val="en-GB"/>
            </w:rPr>
          </w:pPr>
          <w:r w:rsidRPr="00F272EE">
            <w:rPr>
              <w:b/>
              <w:bCs/>
              <w:noProof/>
              <w:lang w:val="en-GB"/>
            </w:rPr>
            <w:fldChar w:fldCharType="begin"/>
          </w:r>
          <w:r w:rsidRPr="00F272EE">
            <w:rPr>
              <w:b/>
              <w:bCs/>
              <w:noProof/>
              <w:lang w:val="en-GB"/>
            </w:rPr>
            <w:instrText xml:space="preserve"> TOC \o "1-3" \h \z \u </w:instrText>
          </w:r>
          <w:r w:rsidRPr="00F272EE">
            <w:rPr>
              <w:b/>
              <w:bCs/>
              <w:noProof/>
              <w:lang w:val="en-GB"/>
            </w:rPr>
            <w:fldChar w:fldCharType="separate"/>
          </w:r>
          <w:hyperlink w:anchor="_Toc19197930" w:history="1">
            <w:r w:rsidR="00104919" w:rsidRPr="00FB0E33">
              <w:rPr>
                <w:rStyle w:val="Hyperlink"/>
                <w:noProof/>
                <w:lang w:val="en-GB"/>
              </w:rPr>
              <w:t>Version Control</w:t>
            </w:r>
            <w:r w:rsidR="00104919">
              <w:rPr>
                <w:noProof/>
                <w:webHidden/>
              </w:rPr>
              <w:tab/>
            </w:r>
            <w:r w:rsidR="00104919">
              <w:rPr>
                <w:noProof/>
                <w:webHidden/>
              </w:rPr>
              <w:fldChar w:fldCharType="begin"/>
            </w:r>
            <w:r w:rsidR="00104919">
              <w:rPr>
                <w:noProof/>
                <w:webHidden/>
              </w:rPr>
              <w:instrText xml:space="preserve"> PAGEREF _Toc19197930 \h </w:instrText>
            </w:r>
            <w:r w:rsidR="00104919">
              <w:rPr>
                <w:noProof/>
                <w:webHidden/>
              </w:rPr>
            </w:r>
            <w:r w:rsidR="00104919">
              <w:rPr>
                <w:noProof/>
                <w:webHidden/>
              </w:rPr>
              <w:fldChar w:fldCharType="separate"/>
            </w:r>
            <w:r w:rsidR="00104919">
              <w:rPr>
                <w:noProof/>
                <w:webHidden/>
              </w:rPr>
              <w:t>3</w:t>
            </w:r>
            <w:r w:rsidR="00104919">
              <w:rPr>
                <w:noProof/>
                <w:webHidden/>
              </w:rPr>
              <w:fldChar w:fldCharType="end"/>
            </w:r>
          </w:hyperlink>
        </w:p>
        <w:p w14:paraId="7DD596B7" w14:textId="77777777" w:rsidR="00104919" w:rsidRDefault="00F65ADD">
          <w:pPr>
            <w:pStyle w:val="TOC1"/>
            <w:tabs>
              <w:tab w:val="right" w:leader="dot" w:pos="9016"/>
            </w:tabs>
            <w:rPr>
              <w:rFonts w:asciiTheme="minorHAnsi" w:eastAsiaTheme="minorEastAsia" w:hAnsiTheme="minorHAnsi" w:cstheme="minorBidi"/>
              <w:noProof/>
              <w:sz w:val="22"/>
              <w:szCs w:val="22"/>
              <w:lang w:val="en-GB"/>
            </w:rPr>
          </w:pPr>
          <w:hyperlink w:anchor="_Toc19197931" w:history="1">
            <w:r w:rsidR="00104919" w:rsidRPr="00FB0E33">
              <w:rPr>
                <w:rStyle w:val="Hyperlink"/>
                <w:noProof/>
                <w:lang w:val="en-GB"/>
              </w:rPr>
              <w:t>Approvals</w:t>
            </w:r>
            <w:r w:rsidR="00104919">
              <w:rPr>
                <w:noProof/>
                <w:webHidden/>
              </w:rPr>
              <w:tab/>
            </w:r>
            <w:r w:rsidR="00104919">
              <w:rPr>
                <w:noProof/>
                <w:webHidden/>
              </w:rPr>
              <w:fldChar w:fldCharType="begin"/>
            </w:r>
            <w:r w:rsidR="00104919">
              <w:rPr>
                <w:noProof/>
                <w:webHidden/>
              </w:rPr>
              <w:instrText xml:space="preserve"> PAGEREF _Toc19197931 \h </w:instrText>
            </w:r>
            <w:r w:rsidR="00104919">
              <w:rPr>
                <w:noProof/>
                <w:webHidden/>
              </w:rPr>
            </w:r>
            <w:r w:rsidR="00104919">
              <w:rPr>
                <w:noProof/>
                <w:webHidden/>
              </w:rPr>
              <w:fldChar w:fldCharType="separate"/>
            </w:r>
            <w:r w:rsidR="00104919">
              <w:rPr>
                <w:noProof/>
                <w:webHidden/>
              </w:rPr>
              <w:t>3</w:t>
            </w:r>
            <w:r w:rsidR="00104919">
              <w:rPr>
                <w:noProof/>
                <w:webHidden/>
              </w:rPr>
              <w:fldChar w:fldCharType="end"/>
            </w:r>
          </w:hyperlink>
        </w:p>
        <w:p w14:paraId="0603EC7C" w14:textId="77777777" w:rsidR="00104919" w:rsidRDefault="00F65ADD">
          <w:pPr>
            <w:pStyle w:val="TOC1"/>
            <w:tabs>
              <w:tab w:val="right" w:leader="dot" w:pos="9016"/>
            </w:tabs>
            <w:rPr>
              <w:rFonts w:asciiTheme="minorHAnsi" w:eastAsiaTheme="minorEastAsia" w:hAnsiTheme="minorHAnsi" w:cstheme="minorBidi"/>
              <w:noProof/>
              <w:sz w:val="22"/>
              <w:szCs w:val="22"/>
              <w:lang w:val="en-GB"/>
            </w:rPr>
          </w:pPr>
          <w:hyperlink w:anchor="_Toc19197932" w:history="1">
            <w:r w:rsidR="00104919" w:rsidRPr="00FB0E33">
              <w:rPr>
                <w:rStyle w:val="Hyperlink"/>
                <w:noProof/>
                <w:lang w:val="en-GB"/>
              </w:rPr>
              <w:t>Reviews</w:t>
            </w:r>
            <w:r w:rsidR="00104919">
              <w:rPr>
                <w:noProof/>
                <w:webHidden/>
              </w:rPr>
              <w:tab/>
            </w:r>
            <w:r w:rsidR="00104919">
              <w:rPr>
                <w:noProof/>
                <w:webHidden/>
              </w:rPr>
              <w:fldChar w:fldCharType="begin"/>
            </w:r>
            <w:r w:rsidR="00104919">
              <w:rPr>
                <w:noProof/>
                <w:webHidden/>
              </w:rPr>
              <w:instrText xml:space="preserve"> PAGEREF _Toc19197932 \h </w:instrText>
            </w:r>
            <w:r w:rsidR="00104919">
              <w:rPr>
                <w:noProof/>
                <w:webHidden/>
              </w:rPr>
            </w:r>
            <w:r w:rsidR="00104919">
              <w:rPr>
                <w:noProof/>
                <w:webHidden/>
              </w:rPr>
              <w:fldChar w:fldCharType="separate"/>
            </w:r>
            <w:r w:rsidR="00104919">
              <w:rPr>
                <w:noProof/>
                <w:webHidden/>
              </w:rPr>
              <w:t>3</w:t>
            </w:r>
            <w:r w:rsidR="00104919">
              <w:rPr>
                <w:noProof/>
                <w:webHidden/>
              </w:rPr>
              <w:fldChar w:fldCharType="end"/>
            </w:r>
          </w:hyperlink>
        </w:p>
        <w:p w14:paraId="5F940A37" w14:textId="77777777" w:rsidR="00104919" w:rsidRDefault="00F65ADD">
          <w:pPr>
            <w:pStyle w:val="TOC1"/>
            <w:tabs>
              <w:tab w:val="right" w:leader="dot" w:pos="9016"/>
            </w:tabs>
            <w:rPr>
              <w:rFonts w:asciiTheme="minorHAnsi" w:eastAsiaTheme="minorEastAsia" w:hAnsiTheme="minorHAnsi" w:cstheme="minorBidi"/>
              <w:noProof/>
              <w:sz w:val="22"/>
              <w:szCs w:val="22"/>
              <w:lang w:val="en-GB"/>
            </w:rPr>
          </w:pPr>
          <w:hyperlink w:anchor="_Toc19197933" w:history="1">
            <w:r w:rsidR="00104919" w:rsidRPr="00FB0E33">
              <w:rPr>
                <w:rStyle w:val="Hyperlink"/>
                <w:noProof/>
                <w:lang w:val="en-GB"/>
              </w:rPr>
              <w:t>Application</w:t>
            </w:r>
            <w:r w:rsidR="00104919">
              <w:rPr>
                <w:noProof/>
                <w:webHidden/>
              </w:rPr>
              <w:tab/>
            </w:r>
            <w:r w:rsidR="00104919">
              <w:rPr>
                <w:noProof/>
                <w:webHidden/>
              </w:rPr>
              <w:fldChar w:fldCharType="begin"/>
            </w:r>
            <w:r w:rsidR="00104919">
              <w:rPr>
                <w:noProof/>
                <w:webHidden/>
              </w:rPr>
              <w:instrText xml:space="preserve"> PAGEREF _Toc19197933 \h </w:instrText>
            </w:r>
            <w:r w:rsidR="00104919">
              <w:rPr>
                <w:noProof/>
                <w:webHidden/>
              </w:rPr>
            </w:r>
            <w:r w:rsidR="00104919">
              <w:rPr>
                <w:noProof/>
                <w:webHidden/>
              </w:rPr>
              <w:fldChar w:fldCharType="separate"/>
            </w:r>
            <w:r w:rsidR="00104919">
              <w:rPr>
                <w:noProof/>
                <w:webHidden/>
              </w:rPr>
              <w:t>3</w:t>
            </w:r>
            <w:r w:rsidR="00104919">
              <w:rPr>
                <w:noProof/>
                <w:webHidden/>
              </w:rPr>
              <w:fldChar w:fldCharType="end"/>
            </w:r>
          </w:hyperlink>
        </w:p>
        <w:p w14:paraId="4D58D086" w14:textId="77777777" w:rsidR="00104919" w:rsidRDefault="00F65ADD">
          <w:pPr>
            <w:pStyle w:val="TOC1"/>
            <w:tabs>
              <w:tab w:val="right" w:leader="dot" w:pos="9016"/>
            </w:tabs>
            <w:rPr>
              <w:rFonts w:asciiTheme="minorHAnsi" w:eastAsiaTheme="minorEastAsia" w:hAnsiTheme="minorHAnsi" w:cstheme="minorBidi"/>
              <w:noProof/>
              <w:sz w:val="22"/>
              <w:szCs w:val="22"/>
              <w:lang w:val="en-GB"/>
            </w:rPr>
          </w:pPr>
          <w:hyperlink w:anchor="_Toc19197934" w:history="1">
            <w:bookmarkStart w:id="0" w:name="_Hlk24636372"/>
            <w:r w:rsidR="00104919" w:rsidRPr="00FB0E33">
              <w:rPr>
                <w:rStyle w:val="Hyperlink"/>
                <w:noProof/>
                <w:lang w:val="en-GB"/>
              </w:rPr>
              <w:t>Introduction</w:t>
            </w:r>
            <w:r w:rsidR="00104919">
              <w:rPr>
                <w:noProof/>
                <w:webHidden/>
              </w:rPr>
              <w:tab/>
            </w:r>
            <w:r w:rsidR="00104919">
              <w:rPr>
                <w:noProof/>
                <w:webHidden/>
              </w:rPr>
              <w:fldChar w:fldCharType="begin"/>
            </w:r>
            <w:r w:rsidR="00104919">
              <w:rPr>
                <w:noProof/>
                <w:webHidden/>
              </w:rPr>
              <w:instrText xml:space="preserve"> PAGEREF _Toc19197934 \h </w:instrText>
            </w:r>
            <w:r w:rsidR="00104919">
              <w:rPr>
                <w:noProof/>
                <w:webHidden/>
              </w:rPr>
            </w:r>
            <w:r w:rsidR="00104919">
              <w:rPr>
                <w:noProof/>
                <w:webHidden/>
              </w:rPr>
              <w:fldChar w:fldCharType="separate"/>
            </w:r>
            <w:r w:rsidR="00104919">
              <w:rPr>
                <w:noProof/>
                <w:webHidden/>
              </w:rPr>
              <w:t>4</w:t>
            </w:r>
            <w:r w:rsidR="00104919">
              <w:rPr>
                <w:noProof/>
                <w:webHidden/>
              </w:rPr>
              <w:fldChar w:fldCharType="end"/>
            </w:r>
            <w:bookmarkEnd w:id="0"/>
          </w:hyperlink>
        </w:p>
        <w:p w14:paraId="634477C6" w14:textId="77777777" w:rsidR="00104919" w:rsidRDefault="00F65ADD">
          <w:pPr>
            <w:pStyle w:val="TOC1"/>
            <w:tabs>
              <w:tab w:val="right" w:leader="dot" w:pos="9016"/>
            </w:tabs>
            <w:rPr>
              <w:rFonts w:asciiTheme="minorHAnsi" w:eastAsiaTheme="minorEastAsia" w:hAnsiTheme="minorHAnsi" w:cstheme="minorBidi"/>
              <w:noProof/>
              <w:sz w:val="22"/>
              <w:szCs w:val="22"/>
              <w:lang w:val="en-GB"/>
            </w:rPr>
          </w:pPr>
          <w:hyperlink w:anchor="_Toc19197935" w:history="1">
            <w:r w:rsidR="00104919" w:rsidRPr="00FB0E33">
              <w:rPr>
                <w:rStyle w:val="Hyperlink"/>
                <w:noProof/>
                <w:lang w:val="en-GB"/>
              </w:rPr>
              <w:t>Definition &amp; Scope</w:t>
            </w:r>
            <w:r w:rsidR="00104919">
              <w:rPr>
                <w:noProof/>
                <w:webHidden/>
              </w:rPr>
              <w:tab/>
            </w:r>
            <w:r w:rsidR="00104919">
              <w:rPr>
                <w:noProof/>
                <w:webHidden/>
              </w:rPr>
              <w:fldChar w:fldCharType="begin"/>
            </w:r>
            <w:r w:rsidR="00104919">
              <w:rPr>
                <w:noProof/>
                <w:webHidden/>
              </w:rPr>
              <w:instrText xml:space="preserve"> PAGEREF _Toc19197935 \h </w:instrText>
            </w:r>
            <w:r w:rsidR="00104919">
              <w:rPr>
                <w:noProof/>
                <w:webHidden/>
              </w:rPr>
            </w:r>
            <w:r w:rsidR="00104919">
              <w:rPr>
                <w:noProof/>
                <w:webHidden/>
              </w:rPr>
              <w:fldChar w:fldCharType="separate"/>
            </w:r>
            <w:r w:rsidR="00104919">
              <w:rPr>
                <w:noProof/>
                <w:webHidden/>
              </w:rPr>
              <w:t>5</w:t>
            </w:r>
            <w:r w:rsidR="00104919">
              <w:rPr>
                <w:noProof/>
                <w:webHidden/>
              </w:rPr>
              <w:fldChar w:fldCharType="end"/>
            </w:r>
          </w:hyperlink>
        </w:p>
        <w:p w14:paraId="54B3D1A0" w14:textId="77777777" w:rsidR="00104919" w:rsidRDefault="00F65ADD">
          <w:pPr>
            <w:pStyle w:val="TOC2"/>
            <w:tabs>
              <w:tab w:val="right" w:leader="dot" w:pos="9016"/>
            </w:tabs>
            <w:rPr>
              <w:rFonts w:asciiTheme="minorHAnsi" w:eastAsiaTheme="minorEastAsia" w:hAnsiTheme="minorHAnsi" w:cstheme="minorBidi"/>
              <w:noProof/>
              <w:sz w:val="22"/>
              <w:szCs w:val="22"/>
              <w:lang w:val="en-GB"/>
            </w:rPr>
          </w:pPr>
          <w:hyperlink w:anchor="_Toc19197936" w:history="1">
            <w:r w:rsidR="00104919" w:rsidRPr="00FB0E33">
              <w:rPr>
                <w:rStyle w:val="Hyperlink"/>
                <w:noProof/>
                <w:lang w:val="en-GB"/>
              </w:rPr>
              <w:t>Definition of a Complaint</w:t>
            </w:r>
            <w:r w:rsidR="00104919">
              <w:rPr>
                <w:noProof/>
                <w:webHidden/>
              </w:rPr>
              <w:tab/>
            </w:r>
            <w:r w:rsidR="00104919">
              <w:rPr>
                <w:noProof/>
                <w:webHidden/>
              </w:rPr>
              <w:fldChar w:fldCharType="begin"/>
            </w:r>
            <w:r w:rsidR="00104919">
              <w:rPr>
                <w:noProof/>
                <w:webHidden/>
              </w:rPr>
              <w:instrText xml:space="preserve"> PAGEREF _Toc19197936 \h </w:instrText>
            </w:r>
            <w:r w:rsidR="00104919">
              <w:rPr>
                <w:noProof/>
                <w:webHidden/>
              </w:rPr>
            </w:r>
            <w:r w:rsidR="00104919">
              <w:rPr>
                <w:noProof/>
                <w:webHidden/>
              </w:rPr>
              <w:fldChar w:fldCharType="separate"/>
            </w:r>
            <w:r w:rsidR="00104919">
              <w:rPr>
                <w:noProof/>
                <w:webHidden/>
              </w:rPr>
              <w:t>5</w:t>
            </w:r>
            <w:r w:rsidR="00104919">
              <w:rPr>
                <w:noProof/>
                <w:webHidden/>
              </w:rPr>
              <w:fldChar w:fldCharType="end"/>
            </w:r>
          </w:hyperlink>
        </w:p>
        <w:p w14:paraId="117DDA25" w14:textId="77777777" w:rsidR="00104919" w:rsidRDefault="00F65ADD">
          <w:pPr>
            <w:pStyle w:val="TOC2"/>
            <w:tabs>
              <w:tab w:val="right" w:leader="dot" w:pos="9016"/>
            </w:tabs>
            <w:rPr>
              <w:noProof/>
            </w:rPr>
          </w:pPr>
          <w:hyperlink w:anchor="_Toc19197937" w:history="1">
            <w:r w:rsidR="00104919" w:rsidRPr="00FB0E33">
              <w:rPr>
                <w:rStyle w:val="Hyperlink"/>
                <w:noProof/>
                <w:lang w:val="en-GB"/>
              </w:rPr>
              <w:t>Types of Complainants</w:t>
            </w:r>
            <w:r w:rsidR="00104919">
              <w:rPr>
                <w:noProof/>
                <w:webHidden/>
              </w:rPr>
              <w:tab/>
            </w:r>
            <w:r w:rsidR="00104919">
              <w:rPr>
                <w:noProof/>
                <w:webHidden/>
              </w:rPr>
              <w:fldChar w:fldCharType="begin"/>
            </w:r>
            <w:r w:rsidR="00104919">
              <w:rPr>
                <w:noProof/>
                <w:webHidden/>
              </w:rPr>
              <w:instrText xml:space="preserve"> PAGEREF _Toc19197937 \h </w:instrText>
            </w:r>
            <w:r w:rsidR="00104919">
              <w:rPr>
                <w:noProof/>
                <w:webHidden/>
              </w:rPr>
            </w:r>
            <w:r w:rsidR="00104919">
              <w:rPr>
                <w:noProof/>
                <w:webHidden/>
              </w:rPr>
              <w:fldChar w:fldCharType="separate"/>
            </w:r>
            <w:r w:rsidR="00104919">
              <w:rPr>
                <w:noProof/>
                <w:webHidden/>
              </w:rPr>
              <w:t>5</w:t>
            </w:r>
            <w:r w:rsidR="00104919">
              <w:rPr>
                <w:noProof/>
                <w:webHidden/>
              </w:rPr>
              <w:fldChar w:fldCharType="end"/>
            </w:r>
          </w:hyperlink>
        </w:p>
        <w:p w14:paraId="242669F3" w14:textId="77777777" w:rsidR="00116245" w:rsidRDefault="00F65ADD" w:rsidP="00116245">
          <w:pPr>
            <w:pStyle w:val="TOC2"/>
            <w:tabs>
              <w:tab w:val="right" w:leader="dot" w:pos="9016"/>
            </w:tabs>
            <w:rPr>
              <w:rFonts w:asciiTheme="minorHAnsi" w:eastAsiaTheme="minorEastAsia" w:hAnsiTheme="minorHAnsi" w:cstheme="minorBidi"/>
              <w:noProof/>
              <w:sz w:val="22"/>
              <w:szCs w:val="22"/>
              <w:lang w:val="en-GB"/>
            </w:rPr>
          </w:pPr>
          <w:hyperlink w:anchor="_Toc19197937" w:history="1">
            <w:r w:rsidR="00116245">
              <w:rPr>
                <w:rStyle w:val="Hyperlink"/>
                <w:noProof/>
                <w:lang w:val="en-GB"/>
              </w:rPr>
              <w:t>Scope</w:t>
            </w:r>
            <w:r w:rsidR="00116245">
              <w:rPr>
                <w:noProof/>
                <w:webHidden/>
              </w:rPr>
              <w:tab/>
            </w:r>
            <w:r w:rsidR="00116245">
              <w:rPr>
                <w:noProof/>
                <w:webHidden/>
              </w:rPr>
              <w:fldChar w:fldCharType="begin"/>
            </w:r>
            <w:r w:rsidR="00116245">
              <w:rPr>
                <w:noProof/>
                <w:webHidden/>
              </w:rPr>
              <w:instrText xml:space="preserve"> PAGEREF _Toc19197937 \h </w:instrText>
            </w:r>
            <w:r w:rsidR="00116245">
              <w:rPr>
                <w:noProof/>
                <w:webHidden/>
              </w:rPr>
            </w:r>
            <w:r w:rsidR="00116245">
              <w:rPr>
                <w:noProof/>
                <w:webHidden/>
              </w:rPr>
              <w:fldChar w:fldCharType="separate"/>
            </w:r>
            <w:r w:rsidR="00116245">
              <w:rPr>
                <w:noProof/>
                <w:webHidden/>
              </w:rPr>
              <w:t>5</w:t>
            </w:r>
            <w:r w:rsidR="00116245">
              <w:rPr>
                <w:noProof/>
                <w:webHidden/>
              </w:rPr>
              <w:fldChar w:fldCharType="end"/>
            </w:r>
          </w:hyperlink>
        </w:p>
        <w:p w14:paraId="70BB6511" w14:textId="77777777" w:rsidR="00104919" w:rsidRDefault="00F65ADD">
          <w:pPr>
            <w:pStyle w:val="TOC1"/>
            <w:tabs>
              <w:tab w:val="right" w:leader="dot" w:pos="9016"/>
            </w:tabs>
            <w:rPr>
              <w:noProof/>
            </w:rPr>
          </w:pPr>
          <w:hyperlink w:anchor="_Toc19197938" w:history="1">
            <w:r w:rsidR="00104919" w:rsidRPr="00FB0E33">
              <w:rPr>
                <w:rStyle w:val="Hyperlink"/>
                <w:noProof/>
                <w:lang w:val="en-GB"/>
              </w:rPr>
              <w:t>Process</w:t>
            </w:r>
            <w:r w:rsidR="00104919">
              <w:rPr>
                <w:noProof/>
                <w:webHidden/>
              </w:rPr>
              <w:tab/>
            </w:r>
            <w:r w:rsidR="00104919">
              <w:rPr>
                <w:noProof/>
                <w:webHidden/>
              </w:rPr>
              <w:fldChar w:fldCharType="begin"/>
            </w:r>
            <w:r w:rsidR="00104919">
              <w:rPr>
                <w:noProof/>
                <w:webHidden/>
              </w:rPr>
              <w:instrText xml:space="preserve"> PAGEREF _Toc19197938 \h </w:instrText>
            </w:r>
            <w:r w:rsidR="00104919">
              <w:rPr>
                <w:noProof/>
                <w:webHidden/>
              </w:rPr>
            </w:r>
            <w:r w:rsidR="00104919">
              <w:rPr>
                <w:noProof/>
                <w:webHidden/>
              </w:rPr>
              <w:fldChar w:fldCharType="separate"/>
            </w:r>
            <w:r w:rsidR="00104919">
              <w:rPr>
                <w:noProof/>
                <w:webHidden/>
              </w:rPr>
              <w:t>6</w:t>
            </w:r>
            <w:r w:rsidR="00104919">
              <w:rPr>
                <w:noProof/>
                <w:webHidden/>
              </w:rPr>
              <w:fldChar w:fldCharType="end"/>
            </w:r>
          </w:hyperlink>
        </w:p>
        <w:p w14:paraId="60213C8D" w14:textId="77777777" w:rsidR="00116245" w:rsidRDefault="00F65ADD" w:rsidP="00116245">
          <w:pPr>
            <w:pStyle w:val="TOC1"/>
            <w:tabs>
              <w:tab w:val="right" w:leader="dot" w:pos="9016"/>
            </w:tabs>
            <w:rPr>
              <w:noProof/>
            </w:rPr>
          </w:pPr>
          <w:hyperlink w:anchor="_Toc19197938" w:history="1">
            <w:r w:rsidR="00116245">
              <w:rPr>
                <w:rStyle w:val="Hyperlink"/>
                <w:noProof/>
                <w:lang w:val="en-GB"/>
              </w:rPr>
              <w:t>Complaints Handling Principles</w:t>
            </w:r>
            <w:r w:rsidR="00116245">
              <w:rPr>
                <w:noProof/>
                <w:webHidden/>
              </w:rPr>
              <w:tab/>
            </w:r>
            <w:r w:rsidR="000117D5">
              <w:rPr>
                <w:noProof/>
                <w:webHidden/>
              </w:rPr>
              <w:t>7</w:t>
            </w:r>
          </w:hyperlink>
        </w:p>
        <w:p w14:paraId="761CE554" w14:textId="77777777" w:rsidR="00A715F9" w:rsidRDefault="00A715F9" w:rsidP="00A715F9">
          <w:pPr>
            <w:pStyle w:val="TOC1"/>
            <w:tabs>
              <w:tab w:val="right" w:leader="dot" w:pos="9016"/>
            </w:tabs>
            <w:rPr>
              <w:noProof/>
            </w:rPr>
          </w:pPr>
          <w:r w:rsidRPr="00F272EE">
            <w:rPr>
              <w:b/>
              <w:bCs/>
              <w:noProof/>
              <w:lang w:val="en-GB"/>
            </w:rPr>
            <w:fldChar w:fldCharType="begin"/>
          </w:r>
          <w:r w:rsidRPr="00F272EE">
            <w:rPr>
              <w:b/>
              <w:bCs/>
              <w:noProof/>
              <w:lang w:val="en-GB"/>
            </w:rPr>
            <w:instrText xml:space="preserve"> TOC \o "1-3" \h \z \u </w:instrText>
          </w:r>
          <w:r w:rsidRPr="00F272EE">
            <w:rPr>
              <w:b/>
              <w:bCs/>
              <w:noProof/>
              <w:lang w:val="en-GB"/>
            </w:rPr>
            <w:fldChar w:fldCharType="separate"/>
          </w:r>
          <w:hyperlink w:anchor="_Toc19197938" w:history="1">
            <w:r>
              <w:rPr>
                <w:rStyle w:val="Hyperlink"/>
                <w:noProof/>
                <w:lang w:val="en-GB"/>
              </w:rPr>
              <w:t>Complaint</w:t>
            </w:r>
            <w:r w:rsidR="0051469C">
              <w:rPr>
                <w:rStyle w:val="Hyperlink"/>
                <w:noProof/>
                <w:lang w:val="en-GB"/>
              </w:rPr>
              <w:t xml:space="preserve"> Recording</w:t>
            </w:r>
            <w:r>
              <w:rPr>
                <w:noProof/>
                <w:webHidden/>
              </w:rPr>
              <w:tab/>
            </w:r>
            <w:r w:rsidR="0051469C">
              <w:rPr>
                <w:noProof/>
                <w:webHidden/>
              </w:rPr>
              <w:t>8</w:t>
            </w:r>
          </w:hyperlink>
        </w:p>
        <w:p w14:paraId="4D96CE3C" w14:textId="77777777" w:rsidR="00A715F9" w:rsidRPr="00E340D7" w:rsidRDefault="00A715F9" w:rsidP="00E340D7">
          <w:r w:rsidRPr="00F272EE">
            <w:rPr>
              <w:b/>
              <w:bCs/>
              <w:noProof/>
              <w:lang w:val="en-GB"/>
            </w:rPr>
            <w:fldChar w:fldCharType="end"/>
          </w:r>
        </w:p>
        <w:p w14:paraId="2D72C46A" w14:textId="77777777" w:rsidR="0064733F" w:rsidRPr="00F272EE" w:rsidRDefault="0064733F">
          <w:pPr>
            <w:rPr>
              <w:lang w:val="en-GB"/>
            </w:rPr>
          </w:pPr>
          <w:r w:rsidRPr="00F272EE">
            <w:rPr>
              <w:b/>
              <w:bCs/>
              <w:noProof/>
              <w:lang w:val="en-GB"/>
            </w:rPr>
            <w:fldChar w:fldCharType="end"/>
          </w:r>
        </w:p>
      </w:sdtContent>
    </w:sdt>
    <w:p w14:paraId="26E5F093" w14:textId="77777777" w:rsidR="00266200" w:rsidRPr="00F272EE" w:rsidRDefault="00266200" w:rsidP="00266200">
      <w:pPr>
        <w:rPr>
          <w:rFonts w:eastAsiaTheme="majorEastAsia"/>
          <w:lang w:val="en-GB"/>
        </w:rPr>
      </w:pPr>
      <w:r w:rsidRPr="00F272EE">
        <w:rPr>
          <w:lang w:val="en-GB"/>
        </w:rPr>
        <w:br w:type="page"/>
      </w:r>
    </w:p>
    <w:p w14:paraId="5E4AF79D" w14:textId="77777777" w:rsidR="00B74BEE" w:rsidRPr="00F272EE" w:rsidRDefault="00B33FFC" w:rsidP="00B33FFC">
      <w:pPr>
        <w:pStyle w:val="Heading1"/>
        <w:rPr>
          <w:lang w:val="en-GB"/>
        </w:rPr>
      </w:pPr>
      <w:bookmarkStart w:id="1" w:name="_Toc19197930"/>
      <w:r w:rsidRPr="00F272EE">
        <w:rPr>
          <w:lang w:val="en-GB"/>
        </w:rPr>
        <w:lastRenderedPageBreak/>
        <w:t>Version Control</w:t>
      </w:r>
      <w:bookmarkEnd w:id="1"/>
    </w:p>
    <w:p w14:paraId="7D0A356C" w14:textId="77777777" w:rsidR="00B33FFC" w:rsidRPr="00F272EE" w:rsidRDefault="00B33FFC" w:rsidP="00B33FFC">
      <w:pPr>
        <w:rPr>
          <w:lang w:val="en-GB"/>
        </w:rPr>
      </w:pPr>
    </w:p>
    <w:tbl>
      <w:tblPr>
        <w:tblW w:w="0" w:type="auto"/>
        <w:tblCellMar>
          <w:left w:w="0" w:type="dxa"/>
          <w:right w:w="0" w:type="dxa"/>
        </w:tblCellMar>
        <w:tblLook w:val="04A0" w:firstRow="1" w:lastRow="0" w:firstColumn="1" w:lastColumn="0" w:noHBand="0" w:noVBand="1"/>
      </w:tblPr>
      <w:tblGrid>
        <w:gridCol w:w="1817"/>
        <w:gridCol w:w="1721"/>
        <w:gridCol w:w="1924"/>
        <w:gridCol w:w="1575"/>
        <w:gridCol w:w="1969"/>
      </w:tblGrid>
      <w:tr w:rsidR="004E2A72" w14:paraId="38BB0E8A" w14:textId="77777777" w:rsidTr="004E2A72">
        <w:tc>
          <w:tcPr>
            <w:tcW w:w="1817"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5799754" w14:textId="566A4395" w:rsidR="004E2A72" w:rsidRDefault="004E2A72" w:rsidP="004E2A72">
            <w:pPr>
              <w:rPr>
                <w:rFonts w:ascii="Calibri" w:hAnsi="Calibri"/>
                <w:b/>
                <w:bCs/>
                <w:lang w:val="en-GB" w:eastAsia="en-US"/>
              </w:rPr>
            </w:pPr>
            <w:r w:rsidRPr="00F272EE">
              <w:rPr>
                <w:lang w:val="en-GB"/>
              </w:rPr>
              <w:t>Version</w:t>
            </w:r>
          </w:p>
        </w:tc>
        <w:tc>
          <w:tcPr>
            <w:tcW w:w="1721"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4AF3999" w14:textId="7B085EB1" w:rsidR="004E2A72" w:rsidRDefault="004E2A72" w:rsidP="004E2A72">
            <w:pPr>
              <w:rPr>
                <w:b/>
                <w:bCs/>
                <w:lang w:val="en-GB"/>
              </w:rPr>
            </w:pPr>
            <w:r w:rsidRPr="00F272EE">
              <w:rPr>
                <w:lang w:val="en-GB"/>
              </w:rPr>
              <w:t>Date</w:t>
            </w:r>
          </w:p>
        </w:tc>
        <w:tc>
          <w:tcPr>
            <w:tcW w:w="1924"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1417262" w14:textId="3E3DEF49" w:rsidR="004E2A72" w:rsidRDefault="004E2A72" w:rsidP="004E2A72">
            <w:pPr>
              <w:rPr>
                <w:b/>
                <w:bCs/>
                <w:lang w:val="en-GB"/>
              </w:rPr>
            </w:pPr>
            <w:r w:rsidRPr="00F272EE">
              <w:rPr>
                <w:lang w:val="en-GB"/>
              </w:rPr>
              <w:t>Author</w:t>
            </w:r>
          </w:p>
        </w:tc>
        <w:tc>
          <w:tcPr>
            <w:tcW w:w="15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6CDDE3D" w14:textId="62111823" w:rsidR="004E2A72" w:rsidRDefault="004E2A72" w:rsidP="004E2A72">
            <w:pPr>
              <w:rPr>
                <w:b/>
                <w:bCs/>
                <w:lang w:val="en-GB"/>
              </w:rPr>
            </w:pPr>
            <w:r>
              <w:rPr>
                <w:lang w:val="en-GB"/>
              </w:rPr>
              <w:t>Role</w:t>
            </w:r>
          </w:p>
        </w:tc>
        <w:tc>
          <w:tcPr>
            <w:tcW w:w="196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2D38C52" w14:textId="2A149EF8" w:rsidR="004E2A72" w:rsidRDefault="004E2A72" w:rsidP="004E2A72">
            <w:pPr>
              <w:rPr>
                <w:b/>
                <w:bCs/>
                <w:lang w:val="en-GB"/>
              </w:rPr>
            </w:pPr>
            <w:r w:rsidRPr="00F272EE">
              <w:rPr>
                <w:lang w:val="en-GB"/>
              </w:rPr>
              <w:t>Description</w:t>
            </w:r>
          </w:p>
        </w:tc>
      </w:tr>
      <w:tr w:rsidR="004E2A72" w14:paraId="04F453ED" w14:textId="77777777" w:rsidTr="00E57529">
        <w:tc>
          <w:tcPr>
            <w:tcW w:w="1817" w:type="dxa"/>
            <w:tcBorders>
              <w:top w:val="nil"/>
              <w:left w:val="single" w:sz="8" w:space="0" w:color="999999"/>
              <w:bottom w:val="nil"/>
              <w:right w:val="single" w:sz="8" w:space="0" w:color="999999"/>
            </w:tcBorders>
            <w:tcMar>
              <w:top w:w="0" w:type="dxa"/>
              <w:left w:w="108" w:type="dxa"/>
              <w:bottom w:w="0" w:type="dxa"/>
              <w:right w:w="108" w:type="dxa"/>
            </w:tcMar>
            <w:hideMark/>
          </w:tcPr>
          <w:p w14:paraId="7B299B92" w14:textId="51708DFD" w:rsidR="004E2A72" w:rsidRDefault="004E2A72" w:rsidP="004E2A72">
            <w:pPr>
              <w:rPr>
                <w:lang w:val="en-GB"/>
              </w:rPr>
            </w:pPr>
            <w:r w:rsidRPr="00F272EE">
              <w:rPr>
                <w:lang w:val="en-GB"/>
              </w:rPr>
              <w:t>0.1</w:t>
            </w:r>
            <w:r w:rsidR="00310B8C">
              <w:rPr>
                <w:lang w:val="en-GB"/>
              </w:rPr>
              <w:t xml:space="preserve"> / 1.0</w:t>
            </w:r>
          </w:p>
        </w:tc>
        <w:tc>
          <w:tcPr>
            <w:tcW w:w="1721" w:type="dxa"/>
            <w:tcBorders>
              <w:top w:val="nil"/>
              <w:left w:val="nil"/>
              <w:bottom w:val="nil"/>
              <w:right w:val="single" w:sz="8" w:space="0" w:color="999999"/>
            </w:tcBorders>
            <w:tcMar>
              <w:top w:w="0" w:type="dxa"/>
              <w:left w:w="108" w:type="dxa"/>
              <w:bottom w:w="0" w:type="dxa"/>
              <w:right w:w="108" w:type="dxa"/>
            </w:tcMar>
            <w:hideMark/>
          </w:tcPr>
          <w:p w14:paraId="06422F45" w14:textId="246A24F6" w:rsidR="004E2A72" w:rsidRDefault="003C589A" w:rsidP="004E2A72">
            <w:pPr>
              <w:rPr>
                <w:lang w:val="en-GB"/>
              </w:rPr>
            </w:pPr>
            <w:r>
              <w:rPr>
                <w:lang w:val="en-GB"/>
              </w:rPr>
              <w:t>30</w:t>
            </w:r>
            <w:r w:rsidR="004E2A72" w:rsidRPr="009A0D71">
              <w:rPr>
                <w:vertAlign w:val="superscript"/>
                <w:lang w:val="en-GB"/>
              </w:rPr>
              <w:t>th</w:t>
            </w:r>
            <w:r w:rsidR="004E2A72">
              <w:rPr>
                <w:lang w:val="en-GB"/>
              </w:rPr>
              <w:t xml:space="preserve"> </w:t>
            </w:r>
            <w:r>
              <w:rPr>
                <w:lang w:val="en-GB"/>
              </w:rPr>
              <w:t xml:space="preserve">November </w:t>
            </w:r>
            <w:r w:rsidR="004E2A72" w:rsidRPr="00F272EE">
              <w:rPr>
                <w:lang w:val="en-GB"/>
              </w:rPr>
              <w:t>20</w:t>
            </w:r>
            <w:r>
              <w:rPr>
                <w:lang w:val="en-GB"/>
              </w:rPr>
              <w:t>22</w:t>
            </w:r>
          </w:p>
        </w:tc>
        <w:tc>
          <w:tcPr>
            <w:tcW w:w="1924" w:type="dxa"/>
            <w:tcBorders>
              <w:top w:val="nil"/>
              <w:left w:val="nil"/>
              <w:bottom w:val="nil"/>
              <w:right w:val="single" w:sz="8" w:space="0" w:color="999999"/>
            </w:tcBorders>
            <w:tcMar>
              <w:top w:w="0" w:type="dxa"/>
              <w:left w:w="108" w:type="dxa"/>
              <w:bottom w:w="0" w:type="dxa"/>
              <w:right w:w="108" w:type="dxa"/>
            </w:tcMar>
            <w:hideMark/>
          </w:tcPr>
          <w:p w14:paraId="341C2E07" w14:textId="09BCC8F9" w:rsidR="004E2A72" w:rsidRDefault="003C589A" w:rsidP="003E2387">
            <w:pPr>
              <w:jc w:val="left"/>
              <w:rPr>
                <w:lang w:val="en-GB"/>
              </w:rPr>
            </w:pPr>
            <w:r>
              <w:rPr>
                <w:lang w:val="en-GB"/>
              </w:rPr>
              <w:t>Akin Lawal</w:t>
            </w:r>
          </w:p>
        </w:tc>
        <w:tc>
          <w:tcPr>
            <w:tcW w:w="1575" w:type="dxa"/>
            <w:tcBorders>
              <w:top w:val="nil"/>
              <w:left w:val="nil"/>
              <w:bottom w:val="nil"/>
              <w:right w:val="single" w:sz="8" w:space="0" w:color="999999"/>
            </w:tcBorders>
            <w:tcMar>
              <w:top w:w="0" w:type="dxa"/>
              <w:left w:w="108" w:type="dxa"/>
              <w:bottom w:w="0" w:type="dxa"/>
              <w:right w:w="108" w:type="dxa"/>
            </w:tcMar>
            <w:hideMark/>
          </w:tcPr>
          <w:p w14:paraId="381E92B8" w14:textId="0FE8778C" w:rsidR="004E2A72" w:rsidRDefault="004E2A72" w:rsidP="003E2387">
            <w:pPr>
              <w:jc w:val="left"/>
              <w:rPr>
                <w:lang w:val="en-GB"/>
              </w:rPr>
            </w:pPr>
            <w:r>
              <w:rPr>
                <w:lang w:val="en-GB"/>
              </w:rPr>
              <w:t xml:space="preserve">Compliance </w:t>
            </w:r>
            <w:r w:rsidR="003C589A">
              <w:rPr>
                <w:lang w:val="en-GB"/>
              </w:rPr>
              <w:t>Officer</w:t>
            </w:r>
          </w:p>
        </w:tc>
        <w:tc>
          <w:tcPr>
            <w:tcW w:w="1969" w:type="dxa"/>
            <w:tcBorders>
              <w:top w:val="nil"/>
              <w:left w:val="nil"/>
              <w:bottom w:val="nil"/>
              <w:right w:val="single" w:sz="8" w:space="0" w:color="999999"/>
            </w:tcBorders>
            <w:tcMar>
              <w:top w:w="0" w:type="dxa"/>
              <w:left w:w="108" w:type="dxa"/>
              <w:bottom w:w="0" w:type="dxa"/>
              <w:right w:w="108" w:type="dxa"/>
            </w:tcMar>
            <w:hideMark/>
          </w:tcPr>
          <w:p w14:paraId="40A5EEF5" w14:textId="77777777" w:rsidR="004E2A72" w:rsidRDefault="004E2A72" w:rsidP="003E2387">
            <w:pPr>
              <w:jc w:val="left"/>
              <w:rPr>
                <w:lang w:val="en-GB"/>
              </w:rPr>
            </w:pPr>
            <w:r w:rsidRPr="00F272EE">
              <w:rPr>
                <w:lang w:val="en-GB"/>
              </w:rPr>
              <w:t>Initial draft</w:t>
            </w:r>
            <w:r>
              <w:rPr>
                <w:lang w:val="en-GB"/>
              </w:rPr>
              <w:t xml:space="preserve"> as part of Compliance Manual rewrite</w:t>
            </w:r>
            <w:r w:rsidRPr="00F272EE">
              <w:rPr>
                <w:lang w:val="en-GB"/>
              </w:rPr>
              <w:t xml:space="preserve"> for review by </w:t>
            </w:r>
            <w:r>
              <w:rPr>
                <w:lang w:val="en-GB"/>
              </w:rPr>
              <w:t>key internal stakeholders.</w:t>
            </w:r>
          </w:p>
          <w:p w14:paraId="07EF5DF6" w14:textId="67F1C1D5" w:rsidR="00E57529" w:rsidRDefault="00E57529" w:rsidP="003E2387">
            <w:pPr>
              <w:jc w:val="left"/>
              <w:rPr>
                <w:lang w:val="en-GB"/>
              </w:rPr>
            </w:pPr>
          </w:p>
        </w:tc>
      </w:tr>
      <w:tr w:rsidR="00E57529" w14:paraId="64E2DB0A" w14:textId="77777777" w:rsidTr="00F65ADD">
        <w:tc>
          <w:tcPr>
            <w:tcW w:w="1817" w:type="dxa"/>
            <w:tcBorders>
              <w:top w:val="nil"/>
              <w:left w:val="single" w:sz="8" w:space="0" w:color="999999"/>
              <w:bottom w:val="nil"/>
              <w:right w:val="single" w:sz="8" w:space="0" w:color="999999"/>
            </w:tcBorders>
            <w:tcMar>
              <w:top w:w="0" w:type="dxa"/>
              <w:left w:w="108" w:type="dxa"/>
              <w:bottom w:w="0" w:type="dxa"/>
              <w:right w:w="108" w:type="dxa"/>
            </w:tcMar>
          </w:tcPr>
          <w:p w14:paraId="1A715065" w14:textId="4474A711" w:rsidR="00E57529" w:rsidRPr="00F272EE" w:rsidRDefault="00E57529" w:rsidP="004E2A72">
            <w:pPr>
              <w:rPr>
                <w:lang w:val="en-GB"/>
              </w:rPr>
            </w:pPr>
            <w:r>
              <w:rPr>
                <w:lang w:val="en-GB"/>
              </w:rPr>
              <w:t>1.</w:t>
            </w:r>
            <w:r w:rsidR="00310B8C">
              <w:rPr>
                <w:lang w:val="en-GB"/>
              </w:rPr>
              <w:t>1</w:t>
            </w:r>
          </w:p>
        </w:tc>
        <w:tc>
          <w:tcPr>
            <w:tcW w:w="1721" w:type="dxa"/>
            <w:tcBorders>
              <w:top w:val="nil"/>
              <w:left w:val="nil"/>
              <w:bottom w:val="nil"/>
              <w:right w:val="single" w:sz="8" w:space="0" w:color="999999"/>
            </w:tcBorders>
            <w:tcMar>
              <w:top w:w="0" w:type="dxa"/>
              <w:left w:w="108" w:type="dxa"/>
              <w:bottom w:w="0" w:type="dxa"/>
              <w:right w:w="108" w:type="dxa"/>
            </w:tcMar>
          </w:tcPr>
          <w:p w14:paraId="0825F77B" w14:textId="72BC9FC0" w:rsidR="00E57529" w:rsidRDefault="00E57529" w:rsidP="004E2A72">
            <w:pPr>
              <w:rPr>
                <w:lang w:val="en-GB"/>
              </w:rPr>
            </w:pPr>
            <w:r>
              <w:rPr>
                <w:lang w:val="en-GB"/>
              </w:rPr>
              <w:t>31</w:t>
            </w:r>
            <w:r w:rsidRPr="00E57529">
              <w:rPr>
                <w:vertAlign w:val="superscript"/>
                <w:lang w:val="en-GB"/>
              </w:rPr>
              <w:t>st</w:t>
            </w:r>
            <w:r>
              <w:rPr>
                <w:lang w:val="en-GB"/>
              </w:rPr>
              <w:t xml:space="preserve"> August 2023</w:t>
            </w:r>
          </w:p>
        </w:tc>
        <w:tc>
          <w:tcPr>
            <w:tcW w:w="1924" w:type="dxa"/>
            <w:tcBorders>
              <w:top w:val="nil"/>
              <w:left w:val="nil"/>
              <w:bottom w:val="nil"/>
              <w:right w:val="single" w:sz="8" w:space="0" w:color="999999"/>
            </w:tcBorders>
            <w:tcMar>
              <w:top w:w="0" w:type="dxa"/>
              <w:left w:w="108" w:type="dxa"/>
              <w:bottom w:w="0" w:type="dxa"/>
              <w:right w:w="108" w:type="dxa"/>
            </w:tcMar>
          </w:tcPr>
          <w:p w14:paraId="3393D36B" w14:textId="6DFDE7A3" w:rsidR="00E57529" w:rsidRDefault="00E57529" w:rsidP="003E2387">
            <w:pPr>
              <w:jc w:val="left"/>
              <w:rPr>
                <w:lang w:val="en-GB"/>
              </w:rPr>
            </w:pPr>
            <w:r>
              <w:rPr>
                <w:lang w:val="en-GB"/>
              </w:rPr>
              <w:t>Matthew Davies</w:t>
            </w:r>
          </w:p>
        </w:tc>
        <w:tc>
          <w:tcPr>
            <w:tcW w:w="1575" w:type="dxa"/>
            <w:tcBorders>
              <w:top w:val="nil"/>
              <w:left w:val="nil"/>
              <w:bottom w:val="nil"/>
              <w:right w:val="single" w:sz="8" w:space="0" w:color="999999"/>
            </w:tcBorders>
            <w:tcMar>
              <w:top w:w="0" w:type="dxa"/>
              <w:left w:w="108" w:type="dxa"/>
              <w:bottom w:w="0" w:type="dxa"/>
              <w:right w:w="108" w:type="dxa"/>
            </w:tcMar>
          </w:tcPr>
          <w:p w14:paraId="49229061" w14:textId="71F7B4EA" w:rsidR="00E57529" w:rsidRDefault="00E57529" w:rsidP="003E2387">
            <w:pPr>
              <w:jc w:val="left"/>
              <w:rPr>
                <w:lang w:val="en-GB"/>
              </w:rPr>
            </w:pPr>
            <w:r>
              <w:rPr>
                <w:lang w:val="en-GB"/>
              </w:rPr>
              <w:t>Head of Compliance &amp; Risk</w:t>
            </w:r>
          </w:p>
        </w:tc>
        <w:tc>
          <w:tcPr>
            <w:tcW w:w="1969" w:type="dxa"/>
            <w:tcBorders>
              <w:top w:val="nil"/>
              <w:left w:val="nil"/>
              <w:bottom w:val="nil"/>
              <w:right w:val="single" w:sz="8" w:space="0" w:color="999999"/>
            </w:tcBorders>
            <w:tcMar>
              <w:top w:w="0" w:type="dxa"/>
              <w:left w:w="108" w:type="dxa"/>
              <w:bottom w:w="0" w:type="dxa"/>
              <w:right w:w="108" w:type="dxa"/>
            </w:tcMar>
          </w:tcPr>
          <w:p w14:paraId="4E09B147" w14:textId="426F115C" w:rsidR="00E57529" w:rsidRPr="00F272EE" w:rsidRDefault="00E57529" w:rsidP="003E2387">
            <w:pPr>
              <w:jc w:val="left"/>
              <w:rPr>
                <w:lang w:val="en-GB"/>
              </w:rPr>
            </w:pPr>
            <w:r>
              <w:rPr>
                <w:lang w:val="en-GB"/>
              </w:rPr>
              <w:t>Inserting wording requested by syndicates.</w:t>
            </w:r>
          </w:p>
        </w:tc>
      </w:tr>
      <w:tr w:rsidR="00F65ADD" w14:paraId="6FE677C9" w14:textId="77777777" w:rsidTr="004E2A72">
        <w:tc>
          <w:tcPr>
            <w:tcW w:w="1817"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0F302" w14:textId="60D4177F" w:rsidR="00F65ADD" w:rsidRDefault="00F65ADD" w:rsidP="004E2A72">
            <w:pPr>
              <w:rPr>
                <w:lang w:val="en-GB"/>
              </w:rPr>
            </w:pPr>
            <w:r>
              <w:rPr>
                <w:lang w:val="en-GB"/>
              </w:rPr>
              <w:t>1.2</w:t>
            </w:r>
          </w:p>
        </w:tc>
        <w:tc>
          <w:tcPr>
            <w:tcW w:w="1721" w:type="dxa"/>
            <w:tcBorders>
              <w:top w:val="nil"/>
              <w:left w:val="nil"/>
              <w:bottom w:val="single" w:sz="8" w:space="0" w:color="999999"/>
              <w:right w:val="single" w:sz="8" w:space="0" w:color="999999"/>
            </w:tcBorders>
            <w:tcMar>
              <w:top w:w="0" w:type="dxa"/>
              <w:left w:w="108" w:type="dxa"/>
              <w:bottom w:w="0" w:type="dxa"/>
              <w:right w:w="108" w:type="dxa"/>
            </w:tcMar>
          </w:tcPr>
          <w:p w14:paraId="39678578" w14:textId="533B6360" w:rsidR="00F65ADD" w:rsidRDefault="00F65ADD" w:rsidP="004E2A72">
            <w:pPr>
              <w:rPr>
                <w:lang w:val="en-GB"/>
              </w:rPr>
            </w:pPr>
            <w:r>
              <w:rPr>
                <w:lang w:val="en-GB"/>
              </w:rPr>
              <w:t>3</w:t>
            </w:r>
            <w:r w:rsidRPr="00F65ADD">
              <w:rPr>
                <w:vertAlign w:val="superscript"/>
                <w:lang w:val="en-GB"/>
              </w:rPr>
              <w:t>rd</w:t>
            </w:r>
            <w:r>
              <w:rPr>
                <w:lang w:val="en-GB"/>
              </w:rPr>
              <w:t xml:space="preserve"> July 2024</w:t>
            </w:r>
          </w:p>
        </w:tc>
        <w:tc>
          <w:tcPr>
            <w:tcW w:w="1924" w:type="dxa"/>
            <w:tcBorders>
              <w:top w:val="nil"/>
              <w:left w:val="nil"/>
              <w:bottom w:val="single" w:sz="8" w:space="0" w:color="999999"/>
              <w:right w:val="single" w:sz="8" w:space="0" w:color="999999"/>
            </w:tcBorders>
            <w:tcMar>
              <w:top w:w="0" w:type="dxa"/>
              <w:left w:w="108" w:type="dxa"/>
              <w:bottom w:w="0" w:type="dxa"/>
              <w:right w:w="108" w:type="dxa"/>
            </w:tcMar>
          </w:tcPr>
          <w:p w14:paraId="53781C18" w14:textId="49ADD682" w:rsidR="00F65ADD" w:rsidRDefault="00F65ADD" w:rsidP="003E2387">
            <w:pPr>
              <w:jc w:val="left"/>
              <w:rPr>
                <w:lang w:val="en-GB"/>
              </w:rPr>
            </w:pPr>
            <w:r>
              <w:rPr>
                <w:lang w:val="en-GB"/>
              </w:rPr>
              <w:t>Edward Bergson</w:t>
            </w:r>
          </w:p>
        </w:tc>
        <w:tc>
          <w:tcPr>
            <w:tcW w:w="1575" w:type="dxa"/>
            <w:tcBorders>
              <w:top w:val="nil"/>
              <w:left w:val="nil"/>
              <w:bottom w:val="single" w:sz="8" w:space="0" w:color="999999"/>
              <w:right w:val="single" w:sz="8" w:space="0" w:color="999999"/>
            </w:tcBorders>
            <w:tcMar>
              <w:top w:w="0" w:type="dxa"/>
              <w:left w:w="108" w:type="dxa"/>
              <w:bottom w:w="0" w:type="dxa"/>
              <w:right w:w="108" w:type="dxa"/>
            </w:tcMar>
          </w:tcPr>
          <w:p w14:paraId="41DA93D8" w14:textId="4EA8626F" w:rsidR="00F65ADD" w:rsidRDefault="00F65ADD" w:rsidP="003E2387">
            <w:pPr>
              <w:jc w:val="left"/>
              <w:rPr>
                <w:lang w:val="en-GB"/>
              </w:rPr>
            </w:pPr>
            <w:r>
              <w:rPr>
                <w:lang w:val="en-GB"/>
              </w:rPr>
              <w:t>International Compliance Manager</w:t>
            </w:r>
          </w:p>
        </w:tc>
        <w:tc>
          <w:tcPr>
            <w:tcW w:w="1969" w:type="dxa"/>
            <w:tcBorders>
              <w:top w:val="nil"/>
              <w:left w:val="nil"/>
              <w:bottom w:val="single" w:sz="8" w:space="0" w:color="999999"/>
              <w:right w:val="single" w:sz="8" w:space="0" w:color="999999"/>
            </w:tcBorders>
            <w:tcMar>
              <w:top w:w="0" w:type="dxa"/>
              <w:left w:w="108" w:type="dxa"/>
              <w:bottom w:w="0" w:type="dxa"/>
              <w:right w:w="108" w:type="dxa"/>
            </w:tcMar>
          </w:tcPr>
          <w:p w14:paraId="7966981D" w14:textId="6EC966F3" w:rsidR="00F65ADD" w:rsidRDefault="00F65ADD" w:rsidP="003E2387">
            <w:pPr>
              <w:jc w:val="left"/>
              <w:rPr>
                <w:lang w:val="en-GB"/>
              </w:rPr>
            </w:pPr>
            <w:r>
              <w:rPr>
                <w:lang w:val="en-GB"/>
              </w:rPr>
              <w:t>Added contact details</w:t>
            </w:r>
          </w:p>
        </w:tc>
      </w:tr>
    </w:tbl>
    <w:p w14:paraId="09266AA0" w14:textId="13F38271" w:rsidR="00C04B17" w:rsidRDefault="00471B22" w:rsidP="00C04B17">
      <w:pPr>
        <w:pStyle w:val="Heading1"/>
        <w:rPr>
          <w:lang w:val="en-GB"/>
        </w:rPr>
      </w:pPr>
      <w:bookmarkStart w:id="2" w:name="_Toc19197931"/>
      <w:r>
        <w:rPr>
          <w:lang w:val="en-GB"/>
        </w:rPr>
        <w:t xml:space="preserve"> </w:t>
      </w:r>
      <w:r w:rsidR="00C04B17">
        <w:rPr>
          <w:lang w:val="en-GB"/>
        </w:rPr>
        <w:t>Approval</w:t>
      </w:r>
      <w:r w:rsidR="00977ED7">
        <w:rPr>
          <w:lang w:val="en-GB"/>
        </w:rPr>
        <w:t>s</w:t>
      </w:r>
      <w:bookmarkEnd w:id="2"/>
    </w:p>
    <w:p w14:paraId="21D53E4A" w14:textId="77777777" w:rsidR="00C04B17" w:rsidRDefault="00C04B17" w:rsidP="00C04B17">
      <w:pPr>
        <w:rPr>
          <w:lang w:val="en-GB"/>
        </w:rPr>
      </w:pPr>
    </w:p>
    <w:tbl>
      <w:tblPr>
        <w:tblStyle w:val="GridTable1Light"/>
        <w:tblW w:w="0" w:type="auto"/>
        <w:tblLook w:val="04A0" w:firstRow="1" w:lastRow="0" w:firstColumn="1" w:lastColumn="0" w:noHBand="0" w:noVBand="1"/>
      </w:tblPr>
      <w:tblGrid>
        <w:gridCol w:w="3005"/>
        <w:gridCol w:w="3005"/>
        <w:gridCol w:w="3006"/>
      </w:tblGrid>
      <w:tr w:rsidR="00C04B17" w14:paraId="48EC05BF" w14:textId="77777777" w:rsidTr="00C04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CC35F46" w14:textId="77777777" w:rsidR="00C04B17" w:rsidRDefault="00C04B17" w:rsidP="00C04B17">
            <w:pPr>
              <w:rPr>
                <w:lang w:val="en-GB"/>
              </w:rPr>
            </w:pPr>
            <w:r>
              <w:rPr>
                <w:lang w:val="en-GB"/>
              </w:rPr>
              <w:t>Approved By</w:t>
            </w:r>
          </w:p>
        </w:tc>
        <w:tc>
          <w:tcPr>
            <w:tcW w:w="3005" w:type="dxa"/>
          </w:tcPr>
          <w:p w14:paraId="3E2AB15C" w14:textId="77777777" w:rsidR="00C04B17" w:rsidRDefault="00C04B17" w:rsidP="00C04B17">
            <w:pPr>
              <w:cnfStyle w:val="100000000000" w:firstRow="1" w:lastRow="0" w:firstColumn="0" w:lastColumn="0" w:oddVBand="0" w:evenVBand="0" w:oddHBand="0" w:evenHBand="0" w:firstRowFirstColumn="0" w:firstRowLastColumn="0" w:lastRowFirstColumn="0" w:lastRowLastColumn="0"/>
              <w:rPr>
                <w:lang w:val="en-GB"/>
              </w:rPr>
            </w:pPr>
            <w:r>
              <w:rPr>
                <w:lang w:val="en-GB"/>
              </w:rPr>
              <w:t>Role</w:t>
            </w:r>
          </w:p>
        </w:tc>
        <w:tc>
          <w:tcPr>
            <w:tcW w:w="3006" w:type="dxa"/>
          </w:tcPr>
          <w:p w14:paraId="06E2E15B" w14:textId="77777777" w:rsidR="00C04B17" w:rsidRDefault="00C04B17" w:rsidP="00C04B17">
            <w:pPr>
              <w:cnfStyle w:val="100000000000" w:firstRow="1" w:lastRow="0" w:firstColumn="0" w:lastColumn="0" w:oddVBand="0" w:evenVBand="0" w:oddHBand="0" w:evenHBand="0" w:firstRowFirstColumn="0" w:firstRowLastColumn="0" w:lastRowFirstColumn="0" w:lastRowLastColumn="0"/>
              <w:rPr>
                <w:lang w:val="en-GB"/>
              </w:rPr>
            </w:pPr>
            <w:r>
              <w:rPr>
                <w:lang w:val="en-GB"/>
              </w:rPr>
              <w:t>Date</w:t>
            </w:r>
          </w:p>
        </w:tc>
      </w:tr>
      <w:tr w:rsidR="00AB7B47" w14:paraId="6EF194A6" w14:textId="77777777" w:rsidTr="00C04B17">
        <w:tc>
          <w:tcPr>
            <w:cnfStyle w:val="001000000000" w:firstRow="0" w:lastRow="0" w:firstColumn="1" w:lastColumn="0" w:oddVBand="0" w:evenVBand="0" w:oddHBand="0" w:evenHBand="0" w:firstRowFirstColumn="0" w:firstRowLastColumn="0" w:lastRowFirstColumn="0" w:lastRowLastColumn="0"/>
            <w:tcW w:w="3005" w:type="dxa"/>
          </w:tcPr>
          <w:p w14:paraId="21A5583D" w14:textId="3D0CEB9B" w:rsidR="00AB7B47" w:rsidRPr="00C04B17" w:rsidRDefault="00E57529" w:rsidP="003E2387">
            <w:pPr>
              <w:jc w:val="left"/>
              <w:rPr>
                <w:b w:val="0"/>
                <w:lang w:val="en-GB"/>
              </w:rPr>
            </w:pPr>
            <w:r>
              <w:rPr>
                <w:b w:val="0"/>
                <w:lang w:val="en-GB"/>
              </w:rPr>
              <w:t>Matthew Davies</w:t>
            </w:r>
          </w:p>
        </w:tc>
        <w:tc>
          <w:tcPr>
            <w:tcW w:w="3005" w:type="dxa"/>
          </w:tcPr>
          <w:p w14:paraId="5F36EC8E" w14:textId="4E8940C0" w:rsidR="00AB7B47" w:rsidRPr="00C04B17" w:rsidRDefault="00E57529" w:rsidP="003E238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Head of Compliance &amp; Risk</w:t>
            </w:r>
          </w:p>
        </w:tc>
        <w:tc>
          <w:tcPr>
            <w:tcW w:w="3006" w:type="dxa"/>
          </w:tcPr>
          <w:p w14:paraId="591DFFF7" w14:textId="67D50D5F" w:rsidR="00AB7B47" w:rsidRPr="00C04B17" w:rsidRDefault="00E57529" w:rsidP="00AB7B47">
            <w:pPr>
              <w:cnfStyle w:val="000000000000" w:firstRow="0" w:lastRow="0" w:firstColumn="0" w:lastColumn="0" w:oddVBand="0" w:evenVBand="0" w:oddHBand="0" w:evenHBand="0" w:firstRowFirstColumn="0" w:firstRowLastColumn="0" w:lastRowFirstColumn="0" w:lastRowLastColumn="0"/>
              <w:rPr>
                <w:lang w:val="en-GB"/>
              </w:rPr>
            </w:pPr>
            <w:r>
              <w:rPr>
                <w:lang w:val="en-GB"/>
              </w:rPr>
              <w:t>31</w:t>
            </w:r>
            <w:r w:rsidRPr="00E57529">
              <w:rPr>
                <w:vertAlign w:val="superscript"/>
                <w:lang w:val="en-GB"/>
              </w:rPr>
              <w:t>st</w:t>
            </w:r>
            <w:r>
              <w:rPr>
                <w:lang w:val="en-GB"/>
              </w:rPr>
              <w:t xml:space="preserve"> August 2023</w:t>
            </w:r>
          </w:p>
        </w:tc>
      </w:tr>
    </w:tbl>
    <w:p w14:paraId="44E0900D" w14:textId="77777777" w:rsidR="008C57F8" w:rsidRDefault="008C57F8" w:rsidP="00C04B17">
      <w:pPr>
        <w:rPr>
          <w:lang w:val="en-GB"/>
        </w:rPr>
      </w:pPr>
    </w:p>
    <w:p w14:paraId="7603245A" w14:textId="77777777" w:rsidR="008C57F8" w:rsidRDefault="008C57F8" w:rsidP="008C57F8">
      <w:pPr>
        <w:pStyle w:val="Heading1"/>
        <w:rPr>
          <w:lang w:val="en-GB"/>
        </w:rPr>
      </w:pPr>
      <w:bookmarkStart w:id="3" w:name="_Toc19197932"/>
      <w:r>
        <w:rPr>
          <w:lang w:val="en-GB"/>
        </w:rPr>
        <w:t>Reviews</w:t>
      </w:r>
      <w:bookmarkEnd w:id="3"/>
    </w:p>
    <w:p w14:paraId="71968488" w14:textId="77777777" w:rsidR="008C57F8" w:rsidRDefault="008C57F8" w:rsidP="008C57F8">
      <w:pPr>
        <w:rPr>
          <w:lang w:val="en-GB"/>
        </w:rPr>
      </w:pPr>
    </w:p>
    <w:p w14:paraId="36674EB7" w14:textId="77777777" w:rsidR="00710BFB" w:rsidRDefault="00360C3F" w:rsidP="008C57F8">
      <w:pPr>
        <w:rPr>
          <w:lang w:val="en-GB"/>
        </w:rPr>
      </w:pPr>
      <w:r>
        <w:rPr>
          <w:lang w:val="en-GB"/>
        </w:rPr>
        <w:t xml:space="preserve">This Policy shall be reviewed on at least </w:t>
      </w:r>
      <w:r w:rsidR="00D60B8B">
        <w:rPr>
          <w:lang w:val="en-GB"/>
        </w:rPr>
        <w:t>annually</w:t>
      </w:r>
      <w:r>
        <w:rPr>
          <w:lang w:val="en-GB"/>
        </w:rPr>
        <w:t xml:space="preserve">, but more frequently on an ad hoc basis should </w:t>
      </w:r>
      <w:r w:rsidR="00D32397">
        <w:rPr>
          <w:lang w:val="en-GB"/>
        </w:rPr>
        <w:t>events within the firm or the wider industry prompt it.</w:t>
      </w:r>
    </w:p>
    <w:p w14:paraId="34439F51" w14:textId="77777777" w:rsidR="00710BFB" w:rsidRDefault="00CA76A9" w:rsidP="00CA76A9">
      <w:pPr>
        <w:pStyle w:val="Heading1"/>
        <w:rPr>
          <w:lang w:val="en-GB"/>
        </w:rPr>
      </w:pPr>
      <w:bookmarkStart w:id="4" w:name="_Toc19197933"/>
      <w:r>
        <w:rPr>
          <w:lang w:val="en-GB"/>
        </w:rPr>
        <w:t>Application</w:t>
      </w:r>
      <w:bookmarkEnd w:id="4"/>
    </w:p>
    <w:p w14:paraId="2143C24A" w14:textId="77777777" w:rsidR="00710BFB" w:rsidRDefault="00710BFB" w:rsidP="008C57F8">
      <w:pPr>
        <w:rPr>
          <w:lang w:val="en-GB"/>
        </w:rPr>
      </w:pPr>
    </w:p>
    <w:p w14:paraId="5EFF23E7" w14:textId="22F1DA47" w:rsidR="00CC54F0" w:rsidRDefault="00CC54F0" w:rsidP="00CC54F0">
      <w:pPr>
        <w:pStyle w:val="BodyText"/>
        <w:ind w:right="976"/>
        <w:jc w:val="both"/>
      </w:pPr>
      <w:r>
        <w:t>For the avoidance of doubt, any reference to “the Company”, “we”, “us” or “our” within this document shall refer to UNIS AG (UNIS).</w:t>
      </w:r>
    </w:p>
    <w:p w14:paraId="6121E150" w14:textId="77777777" w:rsidR="0024357E" w:rsidRDefault="0024357E" w:rsidP="0024357E">
      <w:pPr>
        <w:rPr>
          <w:lang w:val="en-GB"/>
        </w:rPr>
      </w:pPr>
    </w:p>
    <w:p w14:paraId="6BCD9267" w14:textId="77777777" w:rsidR="00DE157F" w:rsidRPr="00F272EE" w:rsidRDefault="0024357E" w:rsidP="0024357E">
      <w:pPr>
        <w:rPr>
          <w:lang w:val="en-GB"/>
        </w:rPr>
      </w:pPr>
      <w:r>
        <w:rPr>
          <w:lang w:val="en-GB"/>
        </w:rPr>
        <w:t xml:space="preserve">Similarly, any reference to “employee” within this document shall include all employees of the Company (whether permanent or </w:t>
      </w:r>
      <w:proofErr w:type="gramStart"/>
      <w:r>
        <w:rPr>
          <w:lang w:val="en-GB"/>
        </w:rPr>
        <w:t>fixed-term</w:t>
      </w:r>
      <w:proofErr w:type="gramEnd"/>
      <w:r>
        <w:rPr>
          <w:lang w:val="en-GB"/>
        </w:rPr>
        <w:t>), contractors, consultants, temporary workers (whether via an agency or self-employed), work experience students, interns, apprentices, or any other individual who is operating on behalf of the Company in a business capacity. In certain contexts, it may also apply to potential employees.</w:t>
      </w:r>
      <w:r w:rsidR="00DE157F" w:rsidRPr="00F272EE">
        <w:rPr>
          <w:lang w:val="en-GB"/>
        </w:rPr>
        <w:br w:type="page"/>
      </w:r>
    </w:p>
    <w:p w14:paraId="4876592D" w14:textId="77777777" w:rsidR="000A2423" w:rsidRPr="00F272EE" w:rsidRDefault="00010E61" w:rsidP="00B100F6">
      <w:pPr>
        <w:pStyle w:val="Heading1"/>
        <w:rPr>
          <w:lang w:val="en-GB"/>
        </w:rPr>
      </w:pPr>
      <w:bookmarkStart w:id="5" w:name="_Toc19197934"/>
      <w:r>
        <w:rPr>
          <w:lang w:val="en-GB"/>
        </w:rPr>
        <w:lastRenderedPageBreak/>
        <w:t>Introduction</w:t>
      </w:r>
      <w:bookmarkEnd w:id="5"/>
    </w:p>
    <w:p w14:paraId="7F47F294" w14:textId="77777777" w:rsidR="00B100F6" w:rsidRPr="00F272EE" w:rsidRDefault="00B100F6" w:rsidP="00B100F6">
      <w:pPr>
        <w:rPr>
          <w:lang w:val="en-GB"/>
        </w:rPr>
      </w:pPr>
    </w:p>
    <w:p w14:paraId="063212CD" w14:textId="7505CE48" w:rsidR="005E151C" w:rsidRDefault="00073AF1" w:rsidP="00C952B3">
      <w:pPr>
        <w:widowControl/>
        <w:overflowPunct/>
        <w:autoSpaceDE/>
        <w:autoSpaceDN/>
        <w:adjustRightInd/>
        <w:spacing w:after="160" w:line="259" w:lineRule="auto"/>
        <w:textAlignment w:val="auto"/>
        <w:rPr>
          <w:lang w:val="en-GB"/>
        </w:rPr>
      </w:pPr>
      <w:r>
        <w:rPr>
          <w:lang w:val="en-GB"/>
        </w:rPr>
        <w:t>The Company</w:t>
      </w:r>
      <w:r w:rsidR="000A7D23">
        <w:rPr>
          <w:lang w:val="en-GB"/>
        </w:rPr>
        <w:t xml:space="preserve"> uses its best endeavours to </w:t>
      </w:r>
      <w:proofErr w:type="gramStart"/>
      <w:r w:rsidR="000A7D23">
        <w:rPr>
          <w:lang w:val="en-GB"/>
        </w:rPr>
        <w:t>provide the highest level of service to its clients and policyholders at all times</w:t>
      </w:r>
      <w:proofErr w:type="gramEnd"/>
      <w:r w:rsidR="000A7D23">
        <w:rPr>
          <w:lang w:val="en-GB"/>
        </w:rPr>
        <w:t xml:space="preserve">. However, we acknowledge the importance of </w:t>
      </w:r>
      <w:r w:rsidR="004E5B4E">
        <w:rPr>
          <w:lang w:val="en-GB"/>
        </w:rPr>
        <w:t xml:space="preserve">having documented policies and procedures in place to </w:t>
      </w:r>
      <w:r w:rsidR="008A7F88">
        <w:rPr>
          <w:lang w:val="en-GB"/>
        </w:rPr>
        <w:t>manage complaints that may arise when</w:t>
      </w:r>
      <w:r w:rsidR="008356C8">
        <w:rPr>
          <w:lang w:val="en-GB"/>
        </w:rPr>
        <w:t>, for any reason,</w:t>
      </w:r>
      <w:r w:rsidR="008A7F88">
        <w:rPr>
          <w:lang w:val="en-GB"/>
        </w:rPr>
        <w:t xml:space="preserve"> </w:t>
      </w:r>
      <w:r w:rsidR="000F5668">
        <w:rPr>
          <w:lang w:val="en-GB"/>
        </w:rPr>
        <w:t xml:space="preserve">we do not meet the expectations of the parties we are dealing with. </w:t>
      </w:r>
      <w:r w:rsidR="009F5409">
        <w:rPr>
          <w:lang w:val="en-GB"/>
        </w:rPr>
        <w:t xml:space="preserve">this document is designed to explain how we address such situations. </w:t>
      </w:r>
    </w:p>
    <w:p w14:paraId="4A07FFD7" w14:textId="581A92B0" w:rsidR="008A6DFE" w:rsidRDefault="009F5409" w:rsidP="00C952B3">
      <w:pPr>
        <w:widowControl/>
        <w:overflowPunct/>
        <w:autoSpaceDE/>
        <w:autoSpaceDN/>
        <w:adjustRightInd/>
        <w:spacing w:after="160" w:line="259" w:lineRule="auto"/>
        <w:textAlignment w:val="auto"/>
        <w:rPr>
          <w:lang w:val="en-GB"/>
        </w:rPr>
      </w:pPr>
      <w:r>
        <w:rPr>
          <w:lang w:val="en-GB"/>
        </w:rPr>
        <w:t>W</w:t>
      </w:r>
      <w:r w:rsidR="00657DE2">
        <w:rPr>
          <w:lang w:val="en-GB"/>
        </w:rPr>
        <w:t xml:space="preserve">e see the successful implementation of this Policy as bringing about </w:t>
      </w:r>
      <w:proofErr w:type="gramStart"/>
      <w:r w:rsidR="00657DE2">
        <w:rPr>
          <w:lang w:val="en-GB"/>
        </w:rPr>
        <w:t>a number of</w:t>
      </w:r>
      <w:proofErr w:type="gramEnd"/>
      <w:r w:rsidR="00FC065E">
        <w:rPr>
          <w:lang w:val="en-GB"/>
        </w:rPr>
        <w:t xml:space="preserve"> other</w:t>
      </w:r>
      <w:r w:rsidR="00657DE2">
        <w:rPr>
          <w:lang w:val="en-GB"/>
        </w:rPr>
        <w:t xml:space="preserve"> outcomes:</w:t>
      </w:r>
    </w:p>
    <w:p w14:paraId="2FEEABE1" w14:textId="2740AE95" w:rsidR="00657DE2" w:rsidRDefault="00207193" w:rsidP="00657DE2">
      <w:pPr>
        <w:pStyle w:val="ListParagraph"/>
        <w:widowControl/>
        <w:numPr>
          <w:ilvl w:val="0"/>
          <w:numId w:val="10"/>
        </w:numPr>
        <w:overflowPunct/>
        <w:autoSpaceDE/>
        <w:autoSpaceDN/>
        <w:adjustRightInd/>
        <w:spacing w:after="160" w:line="259" w:lineRule="auto"/>
        <w:textAlignment w:val="auto"/>
        <w:rPr>
          <w:lang w:val="en-GB"/>
        </w:rPr>
      </w:pPr>
      <w:r w:rsidRPr="00207193">
        <w:rPr>
          <w:lang w:val="en-GB"/>
        </w:rPr>
        <w:t xml:space="preserve">Employees can identify customer complaints and deal with them fairly considering the interests of </w:t>
      </w:r>
      <w:proofErr w:type="gramStart"/>
      <w:r w:rsidRPr="00207193">
        <w:rPr>
          <w:lang w:val="en-GB"/>
        </w:rPr>
        <w:t>policyholders;</w:t>
      </w:r>
      <w:proofErr w:type="gramEnd"/>
    </w:p>
    <w:p w14:paraId="7244A93B" w14:textId="55A8B363" w:rsidR="00BA763D" w:rsidRDefault="00207193" w:rsidP="00657DE2">
      <w:pPr>
        <w:pStyle w:val="ListParagraph"/>
        <w:widowControl/>
        <w:numPr>
          <w:ilvl w:val="0"/>
          <w:numId w:val="10"/>
        </w:numPr>
        <w:overflowPunct/>
        <w:autoSpaceDE/>
        <w:autoSpaceDN/>
        <w:adjustRightInd/>
        <w:spacing w:after="160" w:line="259" w:lineRule="auto"/>
        <w:textAlignment w:val="auto"/>
        <w:rPr>
          <w:lang w:val="en-GB"/>
        </w:rPr>
      </w:pPr>
      <w:r w:rsidRPr="00207193">
        <w:rPr>
          <w:lang w:val="en-GB"/>
        </w:rPr>
        <w:t xml:space="preserve">Employees are aware of the company’s processes and requirements in relation to managing </w:t>
      </w:r>
      <w:proofErr w:type="gramStart"/>
      <w:r w:rsidRPr="00207193">
        <w:rPr>
          <w:lang w:val="en-GB"/>
        </w:rPr>
        <w:t>complaints;</w:t>
      </w:r>
      <w:proofErr w:type="gramEnd"/>
    </w:p>
    <w:p w14:paraId="4F1D3C1C" w14:textId="45B33DBC" w:rsidR="00A94B8B" w:rsidRDefault="00207193" w:rsidP="00657DE2">
      <w:pPr>
        <w:pStyle w:val="ListParagraph"/>
        <w:widowControl/>
        <w:numPr>
          <w:ilvl w:val="0"/>
          <w:numId w:val="10"/>
        </w:numPr>
        <w:overflowPunct/>
        <w:autoSpaceDE/>
        <w:autoSpaceDN/>
        <w:adjustRightInd/>
        <w:spacing w:after="160" w:line="259" w:lineRule="auto"/>
        <w:textAlignment w:val="auto"/>
        <w:rPr>
          <w:lang w:val="en-GB"/>
        </w:rPr>
      </w:pPr>
      <w:r w:rsidRPr="00207193">
        <w:rPr>
          <w:lang w:val="en-GB"/>
        </w:rPr>
        <w:t xml:space="preserve">All complaints made, irrespective of whether we are responsible for the alleged issue, will be </w:t>
      </w:r>
      <w:proofErr w:type="gramStart"/>
      <w:r w:rsidRPr="00207193">
        <w:rPr>
          <w:lang w:val="en-GB"/>
        </w:rPr>
        <w:t>recorded;</w:t>
      </w:r>
      <w:proofErr w:type="gramEnd"/>
    </w:p>
    <w:p w14:paraId="2F97EBCB" w14:textId="4A36DA88" w:rsidR="00FC065E" w:rsidRDefault="00207193" w:rsidP="00657DE2">
      <w:pPr>
        <w:pStyle w:val="ListParagraph"/>
        <w:widowControl/>
        <w:numPr>
          <w:ilvl w:val="0"/>
          <w:numId w:val="10"/>
        </w:numPr>
        <w:overflowPunct/>
        <w:autoSpaceDE/>
        <w:autoSpaceDN/>
        <w:adjustRightInd/>
        <w:spacing w:after="160" w:line="259" w:lineRule="auto"/>
        <w:textAlignment w:val="auto"/>
        <w:rPr>
          <w:lang w:val="en-GB"/>
        </w:rPr>
      </w:pPr>
      <w:r w:rsidRPr="00207193">
        <w:rPr>
          <w:lang w:val="en-GB"/>
        </w:rPr>
        <w:t xml:space="preserve">Complaints will be dealt with in a consistent and objective </w:t>
      </w:r>
      <w:proofErr w:type="gramStart"/>
      <w:r w:rsidRPr="00207193">
        <w:rPr>
          <w:lang w:val="en-GB"/>
        </w:rPr>
        <w:t>manner</w:t>
      </w:r>
      <w:r>
        <w:rPr>
          <w:lang w:val="en-GB"/>
        </w:rPr>
        <w:t>;</w:t>
      </w:r>
      <w:proofErr w:type="gramEnd"/>
    </w:p>
    <w:p w14:paraId="356A6B39" w14:textId="1806425B" w:rsidR="00207193" w:rsidRDefault="00207193" w:rsidP="00657DE2">
      <w:pPr>
        <w:pStyle w:val="ListParagraph"/>
        <w:widowControl/>
        <w:numPr>
          <w:ilvl w:val="0"/>
          <w:numId w:val="10"/>
        </w:numPr>
        <w:overflowPunct/>
        <w:autoSpaceDE/>
        <w:autoSpaceDN/>
        <w:adjustRightInd/>
        <w:spacing w:after="160" w:line="259" w:lineRule="auto"/>
        <w:textAlignment w:val="auto"/>
        <w:rPr>
          <w:lang w:val="en-GB"/>
        </w:rPr>
      </w:pPr>
      <w:r w:rsidRPr="00207193">
        <w:rPr>
          <w:lang w:val="en-GB"/>
        </w:rPr>
        <w:t>Complaints data can provide valuable insights into our services from the customer’s perspective and will be analysed and used to identify opportunities to improve our products and services</w:t>
      </w:r>
      <w:r w:rsidR="00E57529">
        <w:rPr>
          <w:lang w:val="en-GB"/>
        </w:rPr>
        <w:t>.</w:t>
      </w:r>
    </w:p>
    <w:p w14:paraId="432C4AB1" w14:textId="0D88F8D1" w:rsidR="00E57529" w:rsidRPr="00E57529" w:rsidRDefault="00E57529" w:rsidP="00E57529">
      <w:pPr>
        <w:widowControl/>
        <w:overflowPunct/>
        <w:autoSpaceDE/>
        <w:autoSpaceDN/>
        <w:adjustRightInd/>
        <w:spacing w:after="160" w:line="259" w:lineRule="auto"/>
        <w:textAlignment w:val="auto"/>
        <w:rPr>
          <w:lang w:val="en-GB"/>
        </w:rPr>
      </w:pPr>
      <w:r>
        <w:rPr>
          <w:lang w:val="en-GB"/>
        </w:rPr>
        <w:t>In accordance with this approach:</w:t>
      </w:r>
    </w:p>
    <w:p w14:paraId="41891710" w14:textId="4BE2AE26" w:rsidR="00E57529" w:rsidRDefault="00E57529" w:rsidP="00657DE2">
      <w:pPr>
        <w:pStyle w:val="ListParagraph"/>
        <w:widowControl/>
        <w:numPr>
          <w:ilvl w:val="0"/>
          <w:numId w:val="10"/>
        </w:numPr>
        <w:overflowPunct/>
        <w:autoSpaceDE/>
        <w:autoSpaceDN/>
        <w:adjustRightInd/>
        <w:spacing w:after="160" w:line="259" w:lineRule="auto"/>
        <w:textAlignment w:val="auto"/>
        <w:rPr>
          <w:lang w:val="en-GB"/>
        </w:rPr>
      </w:pPr>
      <w:r w:rsidRPr="00E57529">
        <w:rPr>
          <w:lang w:val="en-GB"/>
        </w:rPr>
        <w:t xml:space="preserve">All complaints will be acknowledged in a timely manner and in </w:t>
      </w:r>
      <w:proofErr w:type="gramStart"/>
      <w:r w:rsidRPr="00E57529">
        <w:rPr>
          <w:lang w:val="en-GB"/>
        </w:rPr>
        <w:t>writing</w:t>
      </w:r>
      <w:r>
        <w:rPr>
          <w:lang w:val="en-GB"/>
        </w:rPr>
        <w:t>;</w:t>
      </w:r>
      <w:proofErr w:type="gramEnd"/>
    </w:p>
    <w:p w14:paraId="523FC910" w14:textId="6E1B090D" w:rsidR="00E57529" w:rsidRDefault="00E57529" w:rsidP="00657DE2">
      <w:pPr>
        <w:pStyle w:val="ListParagraph"/>
        <w:widowControl/>
        <w:numPr>
          <w:ilvl w:val="0"/>
          <w:numId w:val="10"/>
        </w:numPr>
        <w:overflowPunct/>
        <w:autoSpaceDE/>
        <w:autoSpaceDN/>
        <w:adjustRightInd/>
        <w:spacing w:after="160" w:line="259" w:lineRule="auto"/>
        <w:textAlignment w:val="auto"/>
        <w:rPr>
          <w:lang w:val="en-GB"/>
        </w:rPr>
      </w:pPr>
      <w:r w:rsidRPr="00E57529">
        <w:rPr>
          <w:lang w:val="en-GB"/>
        </w:rPr>
        <w:t xml:space="preserve">Complaint responses and communications, other than complaints referred to other responsible parties, will incorporate clear and comprehensive information in relation to the investigation into the matters raised and clear indications of the expected timeframes for further response or </w:t>
      </w:r>
      <w:proofErr w:type="gramStart"/>
      <w:r w:rsidRPr="00E57529">
        <w:rPr>
          <w:lang w:val="en-GB"/>
        </w:rPr>
        <w:t>resolution</w:t>
      </w:r>
      <w:r>
        <w:rPr>
          <w:lang w:val="en-GB"/>
        </w:rPr>
        <w:t>;</w:t>
      </w:r>
      <w:proofErr w:type="gramEnd"/>
    </w:p>
    <w:p w14:paraId="1E371ED4" w14:textId="78E9B94F" w:rsidR="00E57529" w:rsidRDefault="00E57529" w:rsidP="00657DE2">
      <w:pPr>
        <w:pStyle w:val="ListParagraph"/>
        <w:widowControl/>
        <w:numPr>
          <w:ilvl w:val="0"/>
          <w:numId w:val="10"/>
        </w:numPr>
        <w:overflowPunct/>
        <w:autoSpaceDE/>
        <w:autoSpaceDN/>
        <w:adjustRightInd/>
        <w:spacing w:after="160" w:line="259" w:lineRule="auto"/>
        <w:textAlignment w:val="auto"/>
        <w:rPr>
          <w:lang w:val="en-GB"/>
        </w:rPr>
      </w:pPr>
      <w:r w:rsidRPr="00E57529">
        <w:rPr>
          <w:lang w:val="en-GB"/>
        </w:rPr>
        <w:t xml:space="preserve">Complainants will be advised of our complaints </w:t>
      </w:r>
      <w:proofErr w:type="gramStart"/>
      <w:r w:rsidRPr="00E57529">
        <w:rPr>
          <w:lang w:val="en-GB"/>
        </w:rPr>
        <w:t>procedure</w:t>
      </w:r>
      <w:r>
        <w:rPr>
          <w:lang w:val="en-GB"/>
        </w:rPr>
        <w:t>;</w:t>
      </w:r>
      <w:proofErr w:type="gramEnd"/>
    </w:p>
    <w:p w14:paraId="39770BC1" w14:textId="438BB363" w:rsidR="00E57529" w:rsidRDefault="00E57529" w:rsidP="00657DE2">
      <w:pPr>
        <w:pStyle w:val="ListParagraph"/>
        <w:widowControl/>
        <w:numPr>
          <w:ilvl w:val="0"/>
          <w:numId w:val="10"/>
        </w:numPr>
        <w:overflowPunct/>
        <w:autoSpaceDE/>
        <w:autoSpaceDN/>
        <w:adjustRightInd/>
        <w:spacing w:after="160" w:line="259" w:lineRule="auto"/>
        <w:textAlignment w:val="auto"/>
        <w:rPr>
          <w:lang w:val="en-GB"/>
        </w:rPr>
      </w:pPr>
      <w:r w:rsidRPr="00E57529">
        <w:rPr>
          <w:lang w:val="en-GB"/>
        </w:rPr>
        <w:t xml:space="preserve">Final responses will be provided as speedily as possible and, in any case, will be provided no later than 8 weeks from the date of the receipt of the </w:t>
      </w:r>
      <w:proofErr w:type="gramStart"/>
      <w:r w:rsidRPr="00E57529">
        <w:rPr>
          <w:lang w:val="en-GB"/>
        </w:rPr>
        <w:t>complaint</w:t>
      </w:r>
      <w:r>
        <w:rPr>
          <w:lang w:val="en-GB"/>
        </w:rPr>
        <w:t>;</w:t>
      </w:r>
      <w:proofErr w:type="gramEnd"/>
    </w:p>
    <w:p w14:paraId="616DB2C2" w14:textId="0C1C956B" w:rsidR="00E57529" w:rsidRDefault="00E57529" w:rsidP="00657DE2">
      <w:pPr>
        <w:pStyle w:val="ListParagraph"/>
        <w:widowControl/>
        <w:numPr>
          <w:ilvl w:val="0"/>
          <w:numId w:val="10"/>
        </w:numPr>
        <w:overflowPunct/>
        <w:autoSpaceDE/>
        <w:autoSpaceDN/>
        <w:adjustRightInd/>
        <w:spacing w:after="160" w:line="259" w:lineRule="auto"/>
        <w:textAlignment w:val="auto"/>
        <w:rPr>
          <w:lang w:val="en-GB"/>
        </w:rPr>
      </w:pPr>
      <w:r w:rsidRPr="00E57529">
        <w:rPr>
          <w:lang w:val="en-GB"/>
        </w:rPr>
        <w:t>Any final responses will clearly state that it is a ‘final response’.</w:t>
      </w:r>
    </w:p>
    <w:p w14:paraId="723D9A9E" w14:textId="482DE3DC" w:rsidR="005D78CC" w:rsidRDefault="005D78CC">
      <w:pPr>
        <w:widowControl/>
        <w:overflowPunct/>
        <w:autoSpaceDE/>
        <w:autoSpaceDN/>
        <w:adjustRightInd/>
        <w:spacing w:after="160" w:line="259" w:lineRule="auto"/>
        <w:jc w:val="left"/>
        <w:textAlignment w:val="auto"/>
        <w:rPr>
          <w:lang w:val="en-GB"/>
        </w:rPr>
      </w:pPr>
      <w:r>
        <w:rPr>
          <w:lang w:val="en-GB"/>
        </w:rPr>
        <w:br w:type="page"/>
      </w:r>
    </w:p>
    <w:p w14:paraId="4061915D" w14:textId="77777777" w:rsidR="005D78CC" w:rsidRDefault="005D78CC" w:rsidP="005D78CC">
      <w:pPr>
        <w:pStyle w:val="Heading1"/>
        <w:rPr>
          <w:lang w:val="en-GB"/>
        </w:rPr>
      </w:pPr>
      <w:bookmarkStart w:id="6" w:name="_Toc19197935"/>
      <w:r>
        <w:rPr>
          <w:lang w:val="en-GB"/>
        </w:rPr>
        <w:lastRenderedPageBreak/>
        <w:t xml:space="preserve">Definition </w:t>
      </w:r>
      <w:r w:rsidR="009541D0">
        <w:rPr>
          <w:lang w:val="en-GB"/>
        </w:rPr>
        <w:t>&amp; Scope</w:t>
      </w:r>
      <w:bookmarkEnd w:id="6"/>
    </w:p>
    <w:p w14:paraId="7A128143" w14:textId="77777777" w:rsidR="005D78CC" w:rsidRDefault="005D78CC" w:rsidP="005D78CC">
      <w:pPr>
        <w:rPr>
          <w:lang w:val="en-GB"/>
        </w:rPr>
      </w:pPr>
    </w:p>
    <w:p w14:paraId="32F5D76F" w14:textId="77777777" w:rsidR="00DE25F6" w:rsidRDefault="00DE25F6" w:rsidP="00DE25F6">
      <w:pPr>
        <w:pStyle w:val="Heading2"/>
        <w:rPr>
          <w:lang w:val="en-GB"/>
        </w:rPr>
      </w:pPr>
      <w:bookmarkStart w:id="7" w:name="_Toc19197936"/>
      <w:r>
        <w:rPr>
          <w:lang w:val="en-GB"/>
        </w:rPr>
        <w:t>Definition of a Complaint</w:t>
      </w:r>
      <w:bookmarkEnd w:id="7"/>
    </w:p>
    <w:p w14:paraId="1C568CFA" w14:textId="77777777" w:rsidR="00DE25F6" w:rsidRDefault="00DE25F6" w:rsidP="005D78CC">
      <w:pPr>
        <w:rPr>
          <w:lang w:val="en-GB"/>
        </w:rPr>
      </w:pPr>
    </w:p>
    <w:p w14:paraId="3F6B0985" w14:textId="54819626" w:rsidR="005D78CC" w:rsidRDefault="00093DBD" w:rsidP="005D78CC">
      <w:pPr>
        <w:rPr>
          <w:lang w:val="en-GB"/>
        </w:rPr>
      </w:pPr>
      <w:r>
        <w:rPr>
          <w:lang w:val="en-GB"/>
        </w:rPr>
        <w:t xml:space="preserve">We define complaints as </w:t>
      </w:r>
      <w:r w:rsidR="00FA3DA7">
        <w:rPr>
          <w:lang w:val="en-GB"/>
        </w:rPr>
        <w:t>“any expression of dissatisfaction, whether oral or written, and whether justified or not, from or on behalf of an eligible complainant about the firm’s provision of, or failure to provide, a financial service</w:t>
      </w:r>
      <w:r w:rsidR="00103DA1">
        <w:rPr>
          <w:lang w:val="en-GB"/>
        </w:rPr>
        <w:t>. This includes allegations of financial loss (or future financial loss), material distress or material inconvenience</w:t>
      </w:r>
      <w:r w:rsidR="00BB76E6">
        <w:rPr>
          <w:lang w:val="en-GB"/>
        </w:rPr>
        <w:t>.</w:t>
      </w:r>
      <w:r w:rsidR="00FA3DA7">
        <w:rPr>
          <w:lang w:val="en-GB"/>
        </w:rPr>
        <w:t xml:space="preserve">” </w:t>
      </w:r>
      <w:r w:rsidR="00C05FD8">
        <w:rPr>
          <w:lang w:val="en-GB"/>
        </w:rPr>
        <w:t>In practice, this can be shortened to “any expression of dissatisfaction”.</w:t>
      </w:r>
      <w:r w:rsidR="009E201B">
        <w:rPr>
          <w:lang w:val="en-GB"/>
        </w:rPr>
        <w:t xml:space="preserve"> This is a </w:t>
      </w:r>
      <w:proofErr w:type="gramStart"/>
      <w:r w:rsidR="009E201B">
        <w:rPr>
          <w:lang w:val="en-GB"/>
        </w:rPr>
        <w:t>fairly broad</w:t>
      </w:r>
      <w:proofErr w:type="gramEnd"/>
      <w:r w:rsidR="009E201B">
        <w:rPr>
          <w:lang w:val="en-GB"/>
        </w:rPr>
        <w:t xml:space="preserve"> definition </w:t>
      </w:r>
      <w:r w:rsidR="007F50AC">
        <w:rPr>
          <w:lang w:val="en-GB"/>
        </w:rPr>
        <w:t xml:space="preserve">and captures a wide range of </w:t>
      </w:r>
      <w:r w:rsidR="00DD44F2">
        <w:rPr>
          <w:lang w:val="en-GB"/>
        </w:rPr>
        <w:t xml:space="preserve">scenarios, </w:t>
      </w:r>
      <w:proofErr w:type="spellStart"/>
      <w:r>
        <w:rPr>
          <w:lang w:val="en-GB"/>
        </w:rPr>
        <w:t>ensuruing</w:t>
      </w:r>
      <w:proofErr w:type="spellEnd"/>
      <w:r>
        <w:rPr>
          <w:lang w:val="en-GB"/>
        </w:rPr>
        <w:t xml:space="preserve"> </w:t>
      </w:r>
      <w:r w:rsidR="00DD44F2">
        <w:rPr>
          <w:lang w:val="en-GB"/>
        </w:rPr>
        <w:t>our awareness of actual and potential issues around the business.</w:t>
      </w:r>
    </w:p>
    <w:p w14:paraId="0858FDB9" w14:textId="77777777" w:rsidR="00185680" w:rsidRDefault="00185680" w:rsidP="005D78CC">
      <w:pPr>
        <w:rPr>
          <w:lang w:val="en-GB"/>
        </w:rPr>
      </w:pPr>
    </w:p>
    <w:p w14:paraId="590A63D8" w14:textId="4B9A2883" w:rsidR="00185680" w:rsidRDefault="00185680" w:rsidP="005D78CC">
      <w:pPr>
        <w:rPr>
          <w:lang w:val="en-GB"/>
        </w:rPr>
      </w:pPr>
      <w:r>
        <w:rPr>
          <w:lang w:val="en-GB"/>
        </w:rPr>
        <w:t xml:space="preserve">If there is any doubt around </w:t>
      </w:r>
      <w:proofErr w:type="gramStart"/>
      <w:r w:rsidR="00E12D0A">
        <w:rPr>
          <w:lang w:val="en-GB"/>
        </w:rPr>
        <w:t>whether or not</w:t>
      </w:r>
      <w:proofErr w:type="gramEnd"/>
      <w:r w:rsidR="00E12D0A">
        <w:rPr>
          <w:lang w:val="en-GB"/>
        </w:rPr>
        <w:t xml:space="preserve"> a communication constitutes a complaint, it must be referred to </w:t>
      </w:r>
      <w:r w:rsidR="008E38A7">
        <w:rPr>
          <w:lang w:val="en-GB"/>
        </w:rPr>
        <w:t xml:space="preserve">Compliance </w:t>
      </w:r>
      <w:r w:rsidR="007C5287">
        <w:rPr>
          <w:lang w:val="en-GB"/>
        </w:rPr>
        <w:t>to make a definitive assessment.</w:t>
      </w:r>
    </w:p>
    <w:p w14:paraId="7EA533CD" w14:textId="77777777" w:rsidR="00DD44F2" w:rsidRDefault="00DD44F2" w:rsidP="005D78CC">
      <w:pPr>
        <w:rPr>
          <w:lang w:val="en-GB"/>
        </w:rPr>
      </w:pPr>
    </w:p>
    <w:p w14:paraId="22C1339D" w14:textId="77777777" w:rsidR="00DE25F6" w:rsidRDefault="00DE25F6" w:rsidP="00DE25F6">
      <w:pPr>
        <w:pStyle w:val="Heading2"/>
        <w:rPr>
          <w:lang w:val="en-GB"/>
        </w:rPr>
      </w:pPr>
      <w:bookmarkStart w:id="8" w:name="_Toc19197937"/>
      <w:r>
        <w:rPr>
          <w:lang w:val="en-GB"/>
        </w:rPr>
        <w:t>Types of Complainants</w:t>
      </w:r>
      <w:bookmarkEnd w:id="8"/>
    </w:p>
    <w:p w14:paraId="68E5D67D" w14:textId="77777777" w:rsidR="00DE25F6" w:rsidRDefault="00DE25F6" w:rsidP="005D78CC">
      <w:pPr>
        <w:rPr>
          <w:lang w:val="en-GB"/>
        </w:rPr>
      </w:pPr>
    </w:p>
    <w:p w14:paraId="54626C0D" w14:textId="77777777" w:rsidR="00DD44F2" w:rsidRDefault="001F5B2D" w:rsidP="005D78CC">
      <w:pPr>
        <w:rPr>
          <w:lang w:val="en-GB"/>
        </w:rPr>
      </w:pPr>
      <w:r>
        <w:rPr>
          <w:lang w:val="en-GB"/>
        </w:rPr>
        <w:t>Due to the nature of our business, w</w:t>
      </w:r>
      <w:r w:rsidR="00DE25F6">
        <w:rPr>
          <w:lang w:val="en-GB"/>
        </w:rPr>
        <w:t xml:space="preserve">e expect to receive </w:t>
      </w:r>
      <w:r w:rsidR="00C51057">
        <w:rPr>
          <w:lang w:val="en-GB"/>
        </w:rPr>
        <w:t>complaints from:</w:t>
      </w:r>
    </w:p>
    <w:p w14:paraId="5ED8051D" w14:textId="77777777" w:rsidR="00C51057" w:rsidRPr="00C51057" w:rsidRDefault="00C51057" w:rsidP="00C51057">
      <w:pPr>
        <w:rPr>
          <w:lang w:val="en-GB"/>
        </w:rPr>
      </w:pPr>
    </w:p>
    <w:p w14:paraId="204913F0" w14:textId="77777777" w:rsidR="00C51057" w:rsidRDefault="00C51057" w:rsidP="00C51057">
      <w:pPr>
        <w:pStyle w:val="ListParagraph"/>
        <w:numPr>
          <w:ilvl w:val="0"/>
          <w:numId w:val="11"/>
        </w:numPr>
        <w:rPr>
          <w:lang w:val="en-GB"/>
        </w:rPr>
      </w:pPr>
      <w:r w:rsidRPr="00C51057">
        <w:rPr>
          <w:lang w:val="en-GB"/>
        </w:rPr>
        <w:t>Policyholders</w:t>
      </w:r>
      <w:r>
        <w:rPr>
          <w:lang w:val="en-GB"/>
        </w:rPr>
        <w:t xml:space="preserve"> and </w:t>
      </w:r>
      <w:r w:rsidR="00923949">
        <w:rPr>
          <w:lang w:val="en-GB"/>
        </w:rPr>
        <w:t>C</w:t>
      </w:r>
      <w:r>
        <w:rPr>
          <w:lang w:val="en-GB"/>
        </w:rPr>
        <w:t>edants</w:t>
      </w:r>
    </w:p>
    <w:p w14:paraId="2E8E8EF8" w14:textId="77777777" w:rsidR="00C51057" w:rsidRDefault="00C51057" w:rsidP="00C51057">
      <w:pPr>
        <w:pStyle w:val="ListParagraph"/>
        <w:numPr>
          <w:ilvl w:val="0"/>
          <w:numId w:val="11"/>
        </w:numPr>
        <w:rPr>
          <w:lang w:val="en-GB"/>
        </w:rPr>
      </w:pPr>
      <w:r>
        <w:rPr>
          <w:lang w:val="en-GB"/>
        </w:rPr>
        <w:t>Producing brokers</w:t>
      </w:r>
    </w:p>
    <w:p w14:paraId="2E0F7D16" w14:textId="77777777" w:rsidR="00C51057" w:rsidRDefault="00C51057" w:rsidP="00C51057">
      <w:pPr>
        <w:pStyle w:val="ListParagraph"/>
        <w:numPr>
          <w:ilvl w:val="0"/>
          <w:numId w:val="11"/>
        </w:numPr>
        <w:rPr>
          <w:lang w:val="en-GB"/>
        </w:rPr>
      </w:pPr>
      <w:r>
        <w:rPr>
          <w:lang w:val="en-GB"/>
        </w:rPr>
        <w:t>Insurers</w:t>
      </w:r>
    </w:p>
    <w:p w14:paraId="233E894A" w14:textId="77777777" w:rsidR="00C51057" w:rsidRDefault="00C51057" w:rsidP="00C51057">
      <w:pPr>
        <w:pStyle w:val="ListParagraph"/>
        <w:numPr>
          <w:ilvl w:val="0"/>
          <w:numId w:val="11"/>
        </w:numPr>
        <w:rPr>
          <w:lang w:val="en-GB"/>
        </w:rPr>
      </w:pPr>
      <w:r>
        <w:rPr>
          <w:lang w:val="en-GB"/>
        </w:rPr>
        <w:t>Third party claimants</w:t>
      </w:r>
    </w:p>
    <w:p w14:paraId="31259C9F" w14:textId="77777777" w:rsidR="00C51057" w:rsidRDefault="00C51057" w:rsidP="00C51057">
      <w:pPr>
        <w:rPr>
          <w:lang w:val="en-GB"/>
        </w:rPr>
      </w:pPr>
    </w:p>
    <w:p w14:paraId="64805C49" w14:textId="77777777" w:rsidR="004A17D1" w:rsidRDefault="004A17D1" w:rsidP="00E340D7">
      <w:pPr>
        <w:widowControl/>
        <w:overflowPunct/>
        <w:autoSpaceDE/>
        <w:autoSpaceDN/>
        <w:adjustRightInd/>
        <w:spacing w:after="160" w:line="259" w:lineRule="auto"/>
        <w:textAlignment w:val="auto"/>
        <w:rPr>
          <w:lang w:val="en-GB"/>
        </w:rPr>
      </w:pPr>
      <w:r w:rsidRPr="00E340D7">
        <w:rPr>
          <w:b/>
          <w:i/>
          <w:lang w:val="en-GB"/>
        </w:rPr>
        <w:t>Scope</w:t>
      </w:r>
    </w:p>
    <w:p w14:paraId="2B61451F" w14:textId="77777777" w:rsidR="0094500D" w:rsidRPr="00E340D7" w:rsidRDefault="00116245" w:rsidP="00E340D7">
      <w:pPr>
        <w:widowControl/>
        <w:overflowPunct/>
        <w:autoSpaceDE/>
        <w:autoSpaceDN/>
        <w:adjustRightInd/>
        <w:spacing w:after="160" w:line="259" w:lineRule="auto"/>
        <w:textAlignment w:val="auto"/>
        <w:rPr>
          <w:rFonts w:eastAsiaTheme="majorEastAsia" w:cstheme="majorBidi"/>
          <w:b/>
          <w:color w:val="2F5496" w:themeColor="accent1" w:themeShade="BF"/>
          <w:sz w:val="22"/>
          <w:szCs w:val="32"/>
          <w:lang w:val="en-GB"/>
        </w:rPr>
      </w:pPr>
      <w:r w:rsidRPr="00E340D7">
        <w:rPr>
          <w:rFonts w:cs="Arial"/>
        </w:rPr>
        <w:t>Th</w:t>
      </w:r>
      <w:r>
        <w:rPr>
          <w:rFonts w:cs="Arial"/>
        </w:rPr>
        <w:t>is</w:t>
      </w:r>
      <w:r w:rsidRPr="00E340D7">
        <w:rPr>
          <w:rFonts w:cs="Arial"/>
        </w:rPr>
        <w:t xml:space="preserve"> policy relates to all </w:t>
      </w:r>
      <w:r>
        <w:rPr>
          <w:rFonts w:cs="Arial"/>
        </w:rPr>
        <w:t xml:space="preserve">employees </w:t>
      </w:r>
      <w:r w:rsidRPr="00E340D7">
        <w:rPr>
          <w:rFonts w:cs="Arial"/>
        </w:rPr>
        <w:t xml:space="preserve">within the </w:t>
      </w:r>
      <w:r>
        <w:rPr>
          <w:rFonts w:cs="Arial"/>
        </w:rPr>
        <w:t xml:space="preserve">Company </w:t>
      </w:r>
      <w:r w:rsidRPr="00E340D7">
        <w:rPr>
          <w:rFonts w:cs="Arial"/>
        </w:rPr>
        <w:t xml:space="preserve">and has been created to ensure that staff deal with the area that this policy relates to in accordance with legal, regulatory, </w:t>
      </w:r>
      <w:proofErr w:type="gramStart"/>
      <w:r w:rsidRPr="00E340D7">
        <w:rPr>
          <w:rFonts w:cs="Arial"/>
        </w:rPr>
        <w:t>contractual</w:t>
      </w:r>
      <w:proofErr w:type="gramEnd"/>
      <w:r w:rsidRPr="00E340D7">
        <w:rPr>
          <w:rFonts w:cs="Arial"/>
        </w:rPr>
        <w:t xml:space="preserve"> and business expectations and requirements.</w:t>
      </w:r>
      <w:r w:rsidRPr="00116245">
        <w:rPr>
          <w:b/>
          <w:i/>
          <w:lang w:val="en-GB"/>
        </w:rPr>
        <w:t xml:space="preserve"> </w:t>
      </w:r>
      <w:r w:rsidR="0094500D" w:rsidRPr="00E340D7">
        <w:rPr>
          <w:rFonts w:eastAsiaTheme="majorEastAsia" w:cstheme="majorBidi"/>
          <w:b/>
          <w:color w:val="2F5496" w:themeColor="accent1" w:themeShade="BF"/>
          <w:sz w:val="22"/>
          <w:szCs w:val="32"/>
          <w:lang w:val="en-GB"/>
        </w:rPr>
        <w:br w:type="page"/>
      </w:r>
    </w:p>
    <w:p w14:paraId="4DA57F9E" w14:textId="77777777" w:rsidR="00B5609C" w:rsidRDefault="005D2ECE" w:rsidP="0094500D">
      <w:pPr>
        <w:pStyle w:val="Heading1"/>
        <w:rPr>
          <w:lang w:val="en-GB"/>
        </w:rPr>
      </w:pPr>
      <w:bookmarkStart w:id="9" w:name="_Toc19197938"/>
      <w:r>
        <w:rPr>
          <w:lang w:val="en-GB"/>
        </w:rPr>
        <w:lastRenderedPageBreak/>
        <w:t>Process</w:t>
      </w:r>
      <w:bookmarkEnd w:id="9"/>
    </w:p>
    <w:p w14:paraId="611DA391" w14:textId="77777777" w:rsidR="005D2ECE" w:rsidRDefault="005D2ECE" w:rsidP="005D2ECE">
      <w:pPr>
        <w:rPr>
          <w:lang w:val="en-GB"/>
        </w:rPr>
      </w:pPr>
    </w:p>
    <w:p w14:paraId="1AAE5D84" w14:textId="611AC6A6" w:rsidR="005D27CD" w:rsidRDefault="00125BC1" w:rsidP="005D2ECE">
      <w:pPr>
        <w:rPr>
          <w:lang w:val="en-GB"/>
        </w:rPr>
      </w:pPr>
      <w:r>
        <w:rPr>
          <w:lang w:val="en-GB"/>
        </w:rPr>
        <w:t xml:space="preserve">When a complaint is identified by a Company employee, </w:t>
      </w:r>
      <w:r w:rsidR="00A2711C">
        <w:rPr>
          <w:lang w:val="en-GB"/>
        </w:rPr>
        <w:t xml:space="preserve">the first step taken is to notify </w:t>
      </w:r>
      <w:r w:rsidR="008E38A7">
        <w:rPr>
          <w:lang w:val="en-GB"/>
        </w:rPr>
        <w:t>Compliance</w:t>
      </w:r>
      <w:r w:rsidR="00A2711C">
        <w:rPr>
          <w:lang w:val="en-GB"/>
        </w:rPr>
        <w:t xml:space="preserve">, who record the complaint on the </w:t>
      </w:r>
      <w:r w:rsidR="005D27CD">
        <w:rPr>
          <w:lang w:val="en-GB"/>
        </w:rPr>
        <w:t xml:space="preserve">Central </w:t>
      </w:r>
      <w:r w:rsidR="00A2711C">
        <w:rPr>
          <w:lang w:val="en-GB"/>
        </w:rPr>
        <w:t xml:space="preserve">Complaints Register. </w:t>
      </w:r>
      <w:r w:rsidR="002B130E" w:rsidRPr="002B130E">
        <w:rPr>
          <w:lang w:val="en-GB"/>
        </w:rPr>
        <w:t>In relation to each complaint, all details on the register must be completed in full according to the type of complaint.</w:t>
      </w:r>
    </w:p>
    <w:p w14:paraId="5A5FAEC0" w14:textId="77777777" w:rsidR="005D27CD" w:rsidRDefault="005D27CD" w:rsidP="005D2ECE">
      <w:pPr>
        <w:rPr>
          <w:lang w:val="en-GB"/>
        </w:rPr>
      </w:pPr>
    </w:p>
    <w:p w14:paraId="4918E357" w14:textId="0FDEA204" w:rsidR="009B532C" w:rsidRDefault="003F675E" w:rsidP="005D2ECE">
      <w:pPr>
        <w:rPr>
          <w:lang w:val="en-GB"/>
        </w:rPr>
      </w:pPr>
      <w:r>
        <w:rPr>
          <w:lang w:val="en-GB"/>
        </w:rPr>
        <w:t xml:space="preserve">Depending on the nature of the complaint, </w:t>
      </w:r>
      <w:r w:rsidR="008E38A7">
        <w:rPr>
          <w:lang w:val="en-GB"/>
        </w:rPr>
        <w:t xml:space="preserve">Compliance </w:t>
      </w:r>
      <w:r>
        <w:rPr>
          <w:lang w:val="en-GB"/>
        </w:rPr>
        <w:t>may issue instructions on how it should be managed at this stage and reserves the right to reallocate</w:t>
      </w:r>
      <w:r w:rsidR="00AA6031">
        <w:rPr>
          <w:lang w:val="en-GB"/>
        </w:rPr>
        <w:t xml:space="preserve"> the complaint</w:t>
      </w:r>
      <w:r>
        <w:rPr>
          <w:lang w:val="en-GB"/>
        </w:rPr>
        <w:t xml:space="preserve"> or</w:t>
      </w:r>
      <w:r w:rsidR="00AA6031">
        <w:rPr>
          <w:lang w:val="en-GB"/>
        </w:rPr>
        <w:t xml:space="preserve"> even</w:t>
      </w:r>
      <w:r>
        <w:rPr>
          <w:lang w:val="en-GB"/>
        </w:rPr>
        <w:t xml:space="preserve"> take over as the handler; </w:t>
      </w:r>
      <w:r w:rsidR="00A83273">
        <w:rPr>
          <w:lang w:val="en-GB"/>
        </w:rPr>
        <w:t xml:space="preserve">this is likely to happen </w:t>
      </w:r>
      <w:r w:rsidR="00345BA7">
        <w:rPr>
          <w:lang w:val="en-GB"/>
        </w:rPr>
        <w:t xml:space="preserve">with </w:t>
      </w:r>
      <w:r w:rsidR="00575626">
        <w:rPr>
          <w:lang w:val="en-GB"/>
        </w:rPr>
        <w:t>high-risk</w:t>
      </w:r>
      <w:r w:rsidR="00345BA7">
        <w:rPr>
          <w:lang w:val="en-GB"/>
        </w:rPr>
        <w:t xml:space="preserve"> </w:t>
      </w:r>
      <w:r w:rsidR="0044561B">
        <w:rPr>
          <w:lang w:val="en-GB"/>
        </w:rPr>
        <w:t>scenarios</w:t>
      </w:r>
      <w:r w:rsidR="00345BA7">
        <w:rPr>
          <w:lang w:val="en-GB"/>
        </w:rPr>
        <w:t>, such as those where there is potential</w:t>
      </w:r>
      <w:r w:rsidR="00DD01F0">
        <w:rPr>
          <w:lang w:val="en-GB"/>
        </w:rPr>
        <w:t xml:space="preserve"> litigation, </w:t>
      </w:r>
      <w:r w:rsidR="008E096E">
        <w:rPr>
          <w:lang w:val="en-GB"/>
        </w:rPr>
        <w:t>media attention,</w:t>
      </w:r>
      <w:r w:rsidR="00345BA7">
        <w:rPr>
          <w:lang w:val="en-GB"/>
        </w:rPr>
        <w:t xml:space="preserve"> or a regulatory breach.</w:t>
      </w:r>
    </w:p>
    <w:p w14:paraId="5AD66F7F" w14:textId="77777777" w:rsidR="00993D42" w:rsidRDefault="00993D42" w:rsidP="005D2ECE">
      <w:pPr>
        <w:rPr>
          <w:lang w:val="en-GB"/>
        </w:rPr>
      </w:pPr>
    </w:p>
    <w:p w14:paraId="6F8054BE" w14:textId="77777777" w:rsidR="00AA6031" w:rsidRDefault="0044561B" w:rsidP="005D2ECE">
      <w:pPr>
        <w:rPr>
          <w:lang w:val="en-GB"/>
        </w:rPr>
      </w:pPr>
      <w:r>
        <w:rPr>
          <w:lang w:val="en-GB"/>
        </w:rPr>
        <w:t>In any case,</w:t>
      </w:r>
      <w:r w:rsidR="00993D42">
        <w:rPr>
          <w:lang w:val="en-GB"/>
        </w:rPr>
        <w:t xml:space="preserve"> the designated complaints handler must be competent for the role, of an appropriate level of seniority</w:t>
      </w:r>
      <w:r w:rsidR="00237BBB">
        <w:rPr>
          <w:lang w:val="en-GB"/>
        </w:rPr>
        <w:t xml:space="preserve">, </w:t>
      </w:r>
      <w:r w:rsidR="006E1F24">
        <w:rPr>
          <w:lang w:val="en-GB"/>
        </w:rPr>
        <w:t xml:space="preserve">and free of any conflicts of interest to allow for an objective review. </w:t>
      </w:r>
      <w:r w:rsidR="000861B2">
        <w:rPr>
          <w:lang w:val="en-GB"/>
        </w:rPr>
        <w:t>This means that an employee must not handle a complaint that relates</w:t>
      </w:r>
      <w:r w:rsidR="0062325D">
        <w:rPr>
          <w:lang w:val="en-GB"/>
        </w:rPr>
        <w:t xml:space="preserve"> directly</w:t>
      </w:r>
      <w:r w:rsidR="000861B2">
        <w:rPr>
          <w:lang w:val="en-GB"/>
        </w:rPr>
        <w:t xml:space="preserve"> to themselves or the service they have provided.</w:t>
      </w:r>
    </w:p>
    <w:p w14:paraId="293FF5A9" w14:textId="77777777" w:rsidR="000861B2" w:rsidRDefault="000861B2" w:rsidP="005D2ECE">
      <w:pPr>
        <w:rPr>
          <w:lang w:val="en-GB"/>
        </w:rPr>
      </w:pPr>
    </w:p>
    <w:p w14:paraId="15C018F5" w14:textId="77777777" w:rsidR="000861B2" w:rsidRDefault="00BA253D" w:rsidP="005D2ECE">
      <w:pPr>
        <w:rPr>
          <w:lang w:val="en-GB"/>
        </w:rPr>
      </w:pPr>
      <w:r>
        <w:rPr>
          <w:lang w:val="en-GB"/>
        </w:rPr>
        <w:t xml:space="preserve">It is the Company’s </w:t>
      </w:r>
      <w:r w:rsidR="004E38BF">
        <w:rPr>
          <w:lang w:val="en-GB"/>
        </w:rPr>
        <w:t xml:space="preserve">ethos to </w:t>
      </w:r>
      <w:r w:rsidR="00AE3C63">
        <w:rPr>
          <w:lang w:val="en-GB"/>
        </w:rPr>
        <w:t>resolv</w:t>
      </w:r>
      <w:r w:rsidR="004E38BF">
        <w:rPr>
          <w:lang w:val="en-GB"/>
        </w:rPr>
        <w:t xml:space="preserve">e complaints </w:t>
      </w:r>
      <w:r w:rsidR="00AE3C63">
        <w:rPr>
          <w:lang w:val="en-GB"/>
        </w:rPr>
        <w:t>complete</w:t>
      </w:r>
      <w:r w:rsidR="004E38BF">
        <w:rPr>
          <w:lang w:val="en-GB"/>
        </w:rPr>
        <w:t xml:space="preserve">ly and fairly, with </w:t>
      </w:r>
      <w:r w:rsidR="00660307">
        <w:rPr>
          <w:lang w:val="en-GB"/>
        </w:rPr>
        <w:t xml:space="preserve">strict impartiality. </w:t>
      </w:r>
      <w:r w:rsidR="006A23AB">
        <w:rPr>
          <w:lang w:val="en-GB"/>
        </w:rPr>
        <w:t xml:space="preserve">Therefore, the handler </w:t>
      </w:r>
      <w:r w:rsidR="00850041">
        <w:rPr>
          <w:lang w:val="en-GB"/>
        </w:rPr>
        <w:t xml:space="preserve">will </w:t>
      </w:r>
      <w:r w:rsidR="00AE3C63">
        <w:rPr>
          <w:lang w:val="en-GB"/>
        </w:rPr>
        <w:t xml:space="preserve">conduct </w:t>
      </w:r>
      <w:r w:rsidR="00D519FC">
        <w:rPr>
          <w:lang w:val="en-GB"/>
        </w:rPr>
        <w:t>a thorough investigation into what has occurred to establish the facts of the situation</w:t>
      </w:r>
      <w:r w:rsidR="000A5BC5">
        <w:rPr>
          <w:lang w:val="en-GB"/>
        </w:rPr>
        <w:t xml:space="preserve">. This investigation should include a review of all relevant correspondence and documentation and engagement with any members of staff who have been involved with the </w:t>
      </w:r>
      <w:r w:rsidR="007F1618">
        <w:rPr>
          <w:lang w:val="en-GB"/>
        </w:rPr>
        <w:t>matter being complained about.</w:t>
      </w:r>
      <w:r w:rsidR="00CD6A60">
        <w:rPr>
          <w:lang w:val="en-GB"/>
        </w:rPr>
        <w:t xml:space="preserve"> Particular attention should be paid to</w:t>
      </w:r>
      <w:r w:rsidR="007D5A43">
        <w:rPr>
          <w:lang w:val="en-GB"/>
        </w:rPr>
        <w:t xml:space="preserve"> adherence to process, </w:t>
      </w:r>
      <w:r w:rsidR="00F443F5">
        <w:rPr>
          <w:lang w:val="en-GB"/>
        </w:rPr>
        <w:t xml:space="preserve">how the complainant </w:t>
      </w:r>
      <w:r w:rsidR="00A27B4A">
        <w:rPr>
          <w:lang w:val="en-GB"/>
        </w:rPr>
        <w:t xml:space="preserve">has been treated, </w:t>
      </w:r>
      <w:r w:rsidR="00023C6F">
        <w:rPr>
          <w:lang w:val="en-GB"/>
        </w:rPr>
        <w:t xml:space="preserve">and </w:t>
      </w:r>
      <w:r w:rsidR="000E2CF3">
        <w:rPr>
          <w:lang w:val="en-GB"/>
        </w:rPr>
        <w:t>the wider context of the complaint.</w:t>
      </w:r>
    </w:p>
    <w:p w14:paraId="058A2A33" w14:textId="77777777" w:rsidR="000E2CF3" w:rsidRDefault="000E2CF3" w:rsidP="005D2ECE">
      <w:pPr>
        <w:rPr>
          <w:lang w:val="en-GB"/>
        </w:rPr>
      </w:pPr>
    </w:p>
    <w:p w14:paraId="2081AD0A" w14:textId="0B34E2D3" w:rsidR="006F1A7B" w:rsidRDefault="000E2CF3" w:rsidP="005D2ECE">
      <w:pPr>
        <w:rPr>
          <w:lang w:val="en-GB"/>
        </w:rPr>
      </w:pPr>
      <w:r>
        <w:rPr>
          <w:lang w:val="en-GB"/>
        </w:rPr>
        <w:t>The han</w:t>
      </w:r>
      <w:r w:rsidR="00D441FD">
        <w:rPr>
          <w:lang w:val="en-GB"/>
        </w:rPr>
        <w:t xml:space="preserve">dler should also </w:t>
      </w:r>
      <w:proofErr w:type="gramStart"/>
      <w:r w:rsidR="00D441FD">
        <w:rPr>
          <w:lang w:val="en-GB"/>
        </w:rPr>
        <w:t>make an effort</w:t>
      </w:r>
      <w:proofErr w:type="gramEnd"/>
      <w:r w:rsidR="00D441FD">
        <w:rPr>
          <w:lang w:val="en-GB"/>
        </w:rPr>
        <w:t xml:space="preserve"> to be aware of any signs of vulnerability – that is, </w:t>
      </w:r>
      <w:r w:rsidR="003D372A">
        <w:rPr>
          <w:lang w:val="en-GB"/>
        </w:rPr>
        <w:t>any circumstances that suggest that the complainant is especially susceptible to detriment, particularly when a firm fails to act with appropriate levels of care.</w:t>
      </w:r>
      <w:r w:rsidR="00B56B43">
        <w:rPr>
          <w:lang w:val="en-GB"/>
        </w:rPr>
        <w:t xml:space="preserve"> </w:t>
      </w:r>
      <w:r w:rsidR="006C4B0E">
        <w:rPr>
          <w:lang w:val="en-GB"/>
        </w:rPr>
        <w:t>This is more likely to arise</w:t>
      </w:r>
      <w:r w:rsidR="003A38C3">
        <w:rPr>
          <w:lang w:val="en-GB"/>
        </w:rPr>
        <w:t xml:space="preserve"> with retail clients</w:t>
      </w:r>
      <w:r w:rsidR="005F0190">
        <w:rPr>
          <w:lang w:val="en-GB"/>
        </w:rPr>
        <w:t xml:space="preserve"> and examples include physical/mental health problems, difficult financial circumstances, limited ability to communicate</w:t>
      </w:r>
      <w:r w:rsidR="000B05D4">
        <w:rPr>
          <w:lang w:val="en-GB"/>
        </w:rPr>
        <w:t xml:space="preserve"> and old age (&gt;80 years of age)</w:t>
      </w:r>
      <w:r w:rsidR="005F0190">
        <w:rPr>
          <w:lang w:val="en-GB"/>
        </w:rPr>
        <w:t>.</w:t>
      </w:r>
      <w:r w:rsidR="006F1A7B">
        <w:rPr>
          <w:lang w:val="en-GB"/>
        </w:rPr>
        <w:t xml:space="preserve"> If there is an element of vulnerability, this should be flagged immediately to </w:t>
      </w:r>
      <w:r w:rsidR="008E38A7">
        <w:rPr>
          <w:lang w:val="en-GB"/>
        </w:rPr>
        <w:t>Compliance</w:t>
      </w:r>
      <w:r w:rsidR="006F1A7B">
        <w:rPr>
          <w:lang w:val="en-GB"/>
        </w:rPr>
        <w:t xml:space="preserve">, who will </w:t>
      </w:r>
      <w:proofErr w:type="gramStart"/>
      <w:r w:rsidR="006F1A7B">
        <w:rPr>
          <w:lang w:val="en-GB"/>
        </w:rPr>
        <w:t>provide assistance</w:t>
      </w:r>
      <w:proofErr w:type="gramEnd"/>
      <w:r w:rsidR="006F1A7B">
        <w:rPr>
          <w:lang w:val="en-GB"/>
        </w:rPr>
        <w:t xml:space="preserve"> on how to proceed.</w:t>
      </w:r>
    </w:p>
    <w:p w14:paraId="29D80930" w14:textId="77777777" w:rsidR="006F1A7B" w:rsidRDefault="006F1A7B" w:rsidP="005D2ECE">
      <w:pPr>
        <w:rPr>
          <w:lang w:val="en-GB"/>
        </w:rPr>
      </w:pPr>
    </w:p>
    <w:p w14:paraId="5FE544E3" w14:textId="058B8A95" w:rsidR="00D50AA9" w:rsidRDefault="000279B7" w:rsidP="005D2ECE">
      <w:pPr>
        <w:rPr>
          <w:lang w:val="en-GB"/>
        </w:rPr>
      </w:pPr>
      <w:r>
        <w:rPr>
          <w:lang w:val="en-GB"/>
        </w:rPr>
        <w:t>The Company’s aim is to resolve complaints with efficiency and speed, and it adheres to the following:</w:t>
      </w:r>
    </w:p>
    <w:p w14:paraId="7990991F" w14:textId="77777777" w:rsidR="00624E83" w:rsidRDefault="00624E83" w:rsidP="005D2ECE">
      <w:pPr>
        <w:rPr>
          <w:lang w:val="en-GB"/>
        </w:rPr>
      </w:pPr>
    </w:p>
    <w:tbl>
      <w:tblPr>
        <w:tblStyle w:val="TableGrid1"/>
        <w:tblW w:w="0" w:type="auto"/>
        <w:tblLook w:val="04A0" w:firstRow="1" w:lastRow="0" w:firstColumn="1" w:lastColumn="0" w:noHBand="0" w:noVBand="1"/>
      </w:tblPr>
      <w:tblGrid>
        <w:gridCol w:w="2254"/>
        <w:gridCol w:w="2254"/>
        <w:gridCol w:w="4508"/>
      </w:tblGrid>
      <w:tr w:rsidR="00617F7E" w14:paraId="12BA6973" w14:textId="77777777" w:rsidTr="00E06BC7">
        <w:trPr>
          <w:trHeight w:val="780"/>
        </w:trPr>
        <w:tc>
          <w:tcPr>
            <w:tcW w:w="9016" w:type="dxa"/>
            <w:gridSpan w:val="3"/>
          </w:tcPr>
          <w:p w14:paraId="6594A63D" w14:textId="5DE532EA" w:rsidR="00617F7E" w:rsidRDefault="00617F7E" w:rsidP="00A16421">
            <w:pPr>
              <w:jc w:val="left"/>
              <w:rPr>
                <w:lang w:val="en-GB"/>
              </w:rPr>
            </w:pPr>
            <w:bookmarkStart w:id="10" w:name="_Hlk25072347"/>
            <w:r w:rsidRPr="00617F7E">
              <w:rPr>
                <w:lang w:val="en-GB"/>
              </w:rPr>
              <w:t>All complaints acknowledged within five working days in writing which may include email including complaints resolved by the end of the working day following receipt</w:t>
            </w:r>
            <w:r>
              <w:rPr>
                <w:lang w:val="en-GB"/>
              </w:rPr>
              <w:t>.</w:t>
            </w:r>
          </w:p>
        </w:tc>
      </w:tr>
      <w:tr w:rsidR="00617F7E" w14:paraId="7357D749" w14:textId="77777777" w:rsidTr="00107CCA">
        <w:tc>
          <w:tcPr>
            <w:tcW w:w="9016" w:type="dxa"/>
            <w:gridSpan w:val="3"/>
          </w:tcPr>
          <w:p w14:paraId="124EC7E8" w14:textId="563F852F" w:rsidR="00617F7E" w:rsidRDefault="00617F7E" w:rsidP="00A16421">
            <w:pPr>
              <w:jc w:val="left"/>
              <w:rPr>
                <w:lang w:val="en-GB"/>
              </w:rPr>
            </w:pPr>
            <w:r w:rsidRPr="00617F7E">
              <w:rPr>
                <w:lang w:val="en-GB"/>
              </w:rPr>
              <w:t xml:space="preserve">Complainants will be advised of our </w:t>
            </w:r>
            <w:proofErr w:type="gramStart"/>
            <w:r w:rsidRPr="00617F7E">
              <w:rPr>
                <w:lang w:val="en-GB"/>
              </w:rPr>
              <w:t>complaints</w:t>
            </w:r>
            <w:proofErr w:type="gramEnd"/>
            <w:r w:rsidRPr="00617F7E">
              <w:rPr>
                <w:lang w:val="en-GB"/>
              </w:rPr>
              <w:t xml:space="preserve"> procedure, when the complaint is acknowledged if it has not already been provided, and where relevant, their right to refer a complaint to the Financial Ombudsman Service if they are dissatisfied with our fin</w:t>
            </w:r>
            <w:r>
              <w:rPr>
                <w:lang w:val="en-GB"/>
              </w:rPr>
              <w:t>al response.</w:t>
            </w:r>
          </w:p>
        </w:tc>
      </w:tr>
      <w:tr w:rsidR="00617F7E" w14:paraId="4C9F70F2" w14:textId="77777777" w:rsidTr="002A4E65">
        <w:trPr>
          <w:trHeight w:val="822"/>
        </w:trPr>
        <w:tc>
          <w:tcPr>
            <w:tcW w:w="9016" w:type="dxa"/>
            <w:gridSpan w:val="3"/>
          </w:tcPr>
          <w:p w14:paraId="50A1073C" w14:textId="000EE3A3" w:rsidR="00617F7E" w:rsidRDefault="00617F7E" w:rsidP="00A16421">
            <w:pPr>
              <w:jc w:val="left"/>
              <w:rPr>
                <w:lang w:val="en-GB"/>
              </w:rPr>
            </w:pPr>
            <w:r w:rsidRPr="00617F7E">
              <w:rPr>
                <w:lang w:val="en-GB"/>
              </w:rPr>
              <w:t>Complaint responses and communications other than complaints referred to other responsible parties, will incorporate clear and comprehensive information in relation to the investigation into the matters raised and clear indications of the expected timefra</w:t>
            </w:r>
            <w:r>
              <w:rPr>
                <w:lang w:val="en-GB"/>
              </w:rPr>
              <w:t>mes for further response or resolution.</w:t>
            </w:r>
          </w:p>
        </w:tc>
      </w:tr>
      <w:tr w:rsidR="007363BA" w14:paraId="56527E35" w14:textId="77777777" w:rsidTr="002A4E65">
        <w:trPr>
          <w:trHeight w:val="822"/>
        </w:trPr>
        <w:tc>
          <w:tcPr>
            <w:tcW w:w="9016" w:type="dxa"/>
            <w:gridSpan w:val="3"/>
          </w:tcPr>
          <w:p w14:paraId="2E38DBBC" w14:textId="5E7F83CE" w:rsidR="007363BA" w:rsidRPr="00617F7E" w:rsidRDefault="007363BA" w:rsidP="00A16421">
            <w:pPr>
              <w:jc w:val="left"/>
              <w:rPr>
                <w:lang w:val="en-GB"/>
              </w:rPr>
            </w:pPr>
            <w:r w:rsidRPr="007363BA">
              <w:rPr>
                <w:lang w:val="en-GB"/>
              </w:rPr>
              <w:t xml:space="preserve">Final responses will be provided as speedily as possible </w:t>
            </w:r>
            <w:proofErr w:type="gramStart"/>
            <w:r w:rsidRPr="007363BA">
              <w:rPr>
                <w:lang w:val="en-GB"/>
              </w:rPr>
              <w:t>and in any case</w:t>
            </w:r>
            <w:proofErr w:type="gramEnd"/>
            <w:r w:rsidRPr="007363BA">
              <w:rPr>
                <w:lang w:val="en-GB"/>
              </w:rPr>
              <w:t xml:space="preserve"> will normally be provided no later than 4 weeks from the date raised and will clearly state that it is a ‘final response</w:t>
            </w:r>
            <w:r>
              <w:rPr>
                <w:lang w:val="en-GB"/>
              </w:rPr>
              <w:t>’.</w:t>
            </w:r>
          </w:p>
        </w:tc>
      </w:tr>
      <w:tr w:rsidR="00624E83" w14:paraId="3FA59617" w14:textId="77777777" w:rsidTr="00A16421">
        <w:trPr>
          <w:trHeight w:val="2259"/>
        </w:trPr>
        <w:tc>
          <w:tcPr>
            <w:tcW w:w="2254" w:type="dxa"/>
            <w:vMerge w:val="restart"/>
          </w:tcPr>
          <w:p w14:paraId="1BBCE030" w14:textId="77777777" w:rsidR="00624E83" w:rsidRPr="009D07B2" w:rsidRDefault="00624E83" w:rsidP="00A16421">
            <w:pPr>
              <w:jc w:val="left"/>
              <w:rPr>
                <w:b/>
                <w:i/>
                <w:lang w:val="en-GB"/>
              </w:rPr>
            </w:pPr>
            <w:r w:rsidRPr="00AA2350">
              <w:rPr>
                <w:b/>
                <w:i/>
                <w:lang w:val="en-GB"/>
              </w:rPr>
              <w:t>For complaints relating to Lloyd’s binding authorities</w:t>
            </w:r>
          </w:p>
        </w:tc>
        <w:tc>
          <w:tcPr>
            <w:tcW w:w="6762" w:type="dxa"/>
            <w:gridSpan w:val="2"/>
          </w:tcPr>
          <w:p w14:paraId="37F156F9" w14:textId="77777777" w:rsidR="00624E83" w:rsidRDefault="00624E83" w:rsidP="00A16421">
            <w:pPr>
              <w:jc w:val="left"/>
              <w:rPr>
                <w:lang w:val="en-GB"/>
              </w:rPr>
            </w:pPr>
            <w:r>
              <w:rPr>
                <w:lang w:val="en-GB"/>
              </w:rPr>
              <w:t xml:space="preserve">Initial notification must be made to the </w:t>
            </w:r>
            <w:r w:rsidRPr="00C47A68">
              <w:rPr>
                <w:u w:val="single"/>
                <w:lang w:val="en-GB"/>
              </w:rPr>
              <w:t>Underwriters/Lloyd’s</w:t>
            </w:r>
            <w:r>
              <w:rPr>
                <w:lang w:val="en-GB"/>
              </w:rPr>
              <w:t xml:space="preserve"> within 7 calendar days of receipt using the Notification Template in Appendix IV</w:t>
            </w:r>
          </w:p>
          <w:p w14:paraId="40A25783" w14:textId="77777777" w:rsidR="00624E83" w:rsidRPr="0065287C" w:rsidRDefault="00624E83" w:rsidP="00A16421">
            <w:pPr>
              <w:jc w:val="left"/>
              <w:rPr>
                <w:lang w:val="en-GB"/>
              </w:rPr>
            </w:pPr>
          </w:p>
          <w:p w14:paraId="2F041A40" w14:textId="77777777" w:rsidR="00624E83" w:rsidRPr="0065287C" w:rsidRDefault="00624E83" w:rsidP="00A16421">
            <w:pPr>
              <w:jc w:val="left"/>
              <w:rPr>
                <w:lang w:val="en-GB"/>
              </w:rPr>
            </w:pPr>
            <w:r w:rsidRPr="0065287C">
              <w:rPr>
                <w:rFonts w:cs="Arial"/>
              </w:rPr>
              <w:t xml:space="preserve">Complaints resolved formally must be notified to Lloyd’s within </w:t>
            </w:r>
            <w:r>
              <w:rPr>
                <w:rFonts w:cs="Arial"/>
              </w:rPr>
              <w:t xml:space="preserve">7 calendar </w:t>
            </w:r>
            <w:r w:rsidRPr="0065287C">
              <w:rPr>
                <w:rFonts w:cs="Arial"/>
              </w:rPr>
              <w:t xml:space="preserve">days of </w:t>
            </w:r>
            <w:proofErr w:type="gramStart"/>
            <w:r w:rsidRPr="0065287C">
              <w:rPr>
                <w:rFonts w:cs="Arial"/>
              </w:rPr>
              <w:t>receipt</w:t>
            </w:r>
            <w:proofErr w:type="gramEnd"/>
          </w:p>
          <w:p w14:paraId="4B6FE509" w14:textId="77777777" w:rsidR="00624E83" w:rsidRPr="0065287C" w:rsidRDefault="00624E83" w:rsidP="00A16421">
            <w:pPr>
              <w:jc w:val="left"/>
              <w:rPr>
                <w:lang w:val="en-GB"/>
              </w:rPr>
            </w:pPr>
          </w:p>
          <w:p w14:paraId="1EB277AB" w14:textId="77777777" w:rsidR="00624E83" w:rsidRDefault="00624E83" w:rsidP="00A16421">
            <w:pPr>
              <w:jc w:val="left"/>
              <w:rPr>
                <w:lang w:val="en-GB"/>
              </w:rPr>
            </w:pPr>
            <w:r w:rsidRPr="0065287C">
              <w:rPr>
                <w:rFonts w:cs="Arial"/>
              </w:rPr>
              <w:t xml:space="preserve">Complaints resolved informally </w:t>
            </w:r>
            <w:r w:rsidRPr="008A405F">
              <w:rPr>
                <w:rFonts w:cs="Arial"/>
              </w:rPr>
              <w:t>(i.e. by the close of the third business</w:t>
            </w:r>
            <w:r>
              <w:rPr>
                <w:rFonts w:cs="Arial"/>
              </w:rPr>
              <w:t xml:space="preserve"> day</w:t>
            </w:r>
            <w:r w:rsidRPr="008A405F">
              <w:rPr>
                <w:rFonts w:cs="Arial"/>
              </w:rPr>
              <w:t>)</w:t>
            </w:r>
            <w:r>
              <w:rPr>
                <w:rFonts w:cs="Arial"/>
                <w:sz w:val="22"/>
                <w:szCs w:val="22"/>
              </w:rPr>
              <w:t xml:space="preserve"> </w:t>
            </w:r>
            <w:r w:rsidRPr="0065287C">
              <w:rPr>
                <w:rFonts w:cs="Arial"/>
              </w:rPr>
              <w:t xml:space="preserve">must be notified to </w:t>
            </w:r>
            <w:r>
              <w:rPr>
                <w:lang w:val="en-GB"/>
              </w:rPr>
              <w:t xml:space="preserve">Lloyd’s </w:t>
            </w:r>
            <w:r w:rsidRPr="0065287C">
              <w:rPr>
                <w:rFonts w:cs="Arial"/>
              </w:rPr>
              <w:t xml:space="preserve">within </w:t>
            </w:r>
            <w:r>
              <w:rPr>
                <w:rFonts w:cs="Arial"/>
              </w:rPr>
              <w:t xml:space="preserve">7 calendar </w:t>
            </w:r>
            <w:r w:rsidRPr="0065287C">
              <w:rPr>
                <w:rFonts w:cs="Arial"/>
              </w:rPr>
              <w:t xml:space="preserve">days of the Summary Resolution Communication </w:t>
            </w:r>
            <w:r>
              <w:rPr>
                <w:rFonts w:cs="Arial"/>
              </w:rPr>
              <w:t xml:space="preserve">(SRC) </w:t>
            </w:r>
            <w:r w:rsidRPr="0065287C">
              <w:rPr>
                <w:rFonts w:cs="Arial"/>
              </w:rPr>
              <w:t>being issued</w:t>
            </w:r>
          </w:p>
        </w:tc>
      </w:tr>
      <w:tr w:rsidR="00624E83" w14:paraId="7C7254A1" w14:textId="77777777" w:rsidTr="00A16421">
        <w:trPr>
          <w:trHeight w:val="1976"/>
        </w:trPr>
        <w:tc>
          <w:tcPr>
            <w:tcW w:w="2254" w:type="dxa"/>
            <w:vMerge/>
          </w:tcPr>
          <w:p w14:paraId="4E7BC852" w14:textId="77777777" w:rsidR="00624E83" w:rsidRPr="00AA2350" w:rsidRDefault="00624E83" w:rsidP="00A16421">
            <w:pPr>
              <w:jc w:val="left"/>
              <w:rPr>
                <w:b/>
                <w:i/>
                <w:lang w:val="en-GB"/>
              </w:rPr>
            </w:pPr>
          </w:p>
        </w:tc>
        <w:tc>
          <w:tcPr>
            <w:tcW w:w="2254" w:type="dxa"/>
          </w:tcPr>
          <w:p w14:paraId="7DC0D511" w14:textId="77777777" w:rsidR="00624E83" w:rsidRPr="00AA2350" w:rsidRDefault="00624E83" w:rsidP="00A16421">
            <w:pPr>
              <w:jc w:val="left"/>
              <w:rPr>
                <w:i/>
                <w:lang w:val="en-GB"/>
              </w:rPr>
            </w:pPr>
            <w:r w:rsidRPr="00AA2350">
              <w:rPr>
                <w:i/>
                <w:lang w:val="en-GB"/>
              </w:rPr>
              <w:t xml:space="preserve">Where a complaint is </w:t>
            </w:r>
            <w:r>
              <w:rPr>
                <w:i/>
                <w:lang w:val="en-GB"/>
              </w:rPr>
              <w:t xml:space="preserve">formally </w:t>
            </w:r>
            <w:r w:rsidRPr="00AA2350">
              <w:rPr>
                <w:i/>
                <w:lang w:val="en-GB"/>
              </w:rPr>
              <w:t>resolved within 14 calendar days</w:t>
            </w:r>
          </w:p>
        </w:tc>
        <w:tc>
          <w:tcPr>
            <w:tcW w:w="4508" w:type="dxa"/>
          </w:tcPr>
          <w:p w14:paraId="69BAE0DD" w14:textId="77777777" w:rsidR="00624E83" w:rsidRDefault="00624E83" w:rsidP="00A16421">
            <w:pPr>
              <w:jc w:val="left"/>
              <w:rPr>
                <w:lang w:val="en-GB"/>
              </w:rPr>
            </w:pPr>
            <w:r>
              <w:rPr>
                <w:lang w:val="en-GB"/>
              </w:rPr>
              <w:t>A Stage 1 Response must be issued to the complainant within 14 days of receipt, in line with the format in Appendix V.</w:t>
            </w:r>
          </w:p>
          <w:p w14:paraId="41516982" w14:textId="77777777" w:rsidR="00624E83" w:rsidRDefault="00624E83" w:rsidP="00A16421">
            <w:pPr>
              <w:jc w:val="left"/>
              <w:rPr>
                <w:lang w:val="en-GB"/>
              </w:rPr>
            </w:pPr>
          </w:p>
          <w:p w14:paraId="6B49774A" w14:textId="77777777" w:rsidR="00624E83" w:rsidRDefault="00624E83" w:rsidP="00A16421">
            <w:pPr>
              <w:jc w:val="left"/>
              <w:rPr>
                <w:lang w:val="en-GB"/>
              </w:rPr>
            </w:pPr>
            <w:r>
              <w:rPr>
                <w:lang w:val="en-GB"/>
              </w:rPr>
              <w:t>A copy of the Stage 1 Response and original complaint must also be issued to the Lloyd’s within 14 calendar days of receipt, including details of any redress paid (if any)</w:t>
            </w:r>
          </w:p>
        </w:tc>
      </w:tr>
      <w:tr w:rsidR="00624E83" w14:paraId="0AE58BED" w14:textId="77777777" w:rsidTr="00A16421">
        <w:trPr>
          <w:trHeight w:val="1976"/>
        </w:trPr>
        <w:tc>
          <w:tcPr>
            <w:tcW w:w="2254" w:type="dxa"/>
            <w:vMerge/>
          </w:tcPr>
          <w:p w14:paraId="4925A357" w14:textId="77777777" w:rsidR="00624E83" w:rsidRDefault="00624E83" w:rsidP="00A16421">
            <w:pPr>
              <w:jc w:val="left"/>
              <w:rPr>
                <w:lang w:val="en-GB"/>
              </w:rPr>
            </w:pPr>
          </w:p>
        </w:tc>
        <w:tc>
          <w:tcPr>
            <w:tcW w:w="2254" w:type="dxa"/>
          </w:tcPr>
          <w:p w14:paraId="43F82E60" w14:textId="77777777" w:rsidR="00624E83" w:rsidRDefault="00624E83" w:rsidP="00A16421">
            <w:pPr>
              <w:jc w:val="left"/>
              <w:rPr>
                <w:lang w:val="en-GB"/>
              </w:rPr>
            </w:pPr>
            <w:r w:rsidRPr="00AA2350">
              <w:rPr>
                <w:i/>
                <w:lang w:val="en-GB"/>
              </w:rPr>
              <w:t xml:space="preserve">Where a complaint is </w:t>
            </w:r>
            <w:r>
              <w:rPr>
                <w:i/>
                <w:lang w:val="en-GB"/>
              </w:rPr>
              <w:t xml:space="preserve">not </w:t>
            </w:r>
            <w:r w:rsidRPr="00AA2350">
              <w:rPr>
                <w:i/>
                <w:lang w:val="en-GB"/>
              </w:rPr>
              <w:t>resolved within 14 calendar days</w:t>
            </w:r>
          </w:p>
        </w:tc>
        <w:tc>
          <w:tcPr>
            <w:tcW w:w="4508" w:type="dxa"/>
          </w:tcPr>
          <w:p w14:paraId="2317F6B0" w14:textId="77777777" w:rsidR="00624E83" w:rsidRDefault="00624E83" w:rsidP="00A16421">
            <w:pPr>
              <w:jc w:val="left"/>
            </w:pPr>
            <w:r>
              <w:t>An Investigation Ongoing letter must be issued, in line with the format in Appendix VI: giving a further 14 calendar days to issue a Stage 1 Response</w:t>
            </w:r>
          </w:p>
          <w:p w14:paraId="695F814C" w14:textId="77777777" w:rsidR="00624E83" w:rsidRDefault="00624E83" w:rsidP="00A16421">
            <w:pPr>
              <w:jc w:val="left"/>
            </w:pPr>
          </w:p>
          <w:p w14:paraId="0FF025C4" w14:textId="77777777" w:rsidR="00624E83" w:rsidRDefault="00624E83" w:rsidP="00A16421">
            <w:pPr>
              <w:jc w:val="left"/>
              <w:rPr>
                <w:lang w:val="en-GB"/>
              </w:rPr>
            </w:pPr>
            <w:r>
              <w:rPr>
                <w:lang w:val="en-GB"/>
              </w:rPr>
              <w:t>A copy of the Investigation Ongoing letter and original complaint must also be issued to the Lloyd’s within 14 calendar days of receipt</w:t>
            </w:r>
          </w:p>
        </w:tc>
      </w:tr>
      <w:tr w:rsidR="00624E83" w14:paraId="538C5C57" w14:textId="77777777" w:rsidTr="00A16421">
        <w:trPr>
          <w:trHeight w:val="1553"/>
        </w:trPr>
        <w:tc>
          <w:tcPr>
            <w:tcW w:w="2254" w:type="dxa"/>
            <w:vMerge/>
          </w:tcPr>
          <w:p w14:paraId="2335ADA9" w14:textId="77777777" w:rsidR="00624E83" w:rsidRDefault="00624E83" w:rsidP="00A16421">
            <w:pPr>
              <w:jc w:val="left"/>
              <w:rPr>
                <w:lang w:val="en-GB"/>
              </w:rPr>
            </w:pPr>
          </w:p>
        </w:tc>
        <w:tc>
          <w:tcPr>
            <w:tcW w:w="2254" w:type="dxa"/>
          </w:tcPr>
          <w:p w14:paraId="5D53E676" w14:textId="77777777" w:rsidR="00624E83" w:rsidRDefault="00624E83" w:rsidP="00A16421">
            <w:pPr>
              <w:jc w:val="left"/>
              <w:rPr>
                <w:lang w:val="en-GB"/>
              </w:rPr>
            </w:pPr>
            <w:r w:rsidRPr="00AA2350">
              <w:rPr>
                <w:i/>
                <w:lang w:val="en-GB"/>
              </w:rPr>
              <w:t xml:space="preserve">Where a complaint is </w:t>
            </w:r>
            <w:r>
              <w:rPr>
                <w:i/>
                <w:lang w:val="en-GB"/>
              </w:rPr>
              <w:t xml:space="preserve">not </w:t>
            </w:r>
            <w:r w:rsidRPr="00AA2350">
              <w:rPr>
                <w:i/>
                <w:lang w:val="en-GB"/>
              </w:rPr>
              <w:t xml:space="preserve">resolved within </w:t>
            </w:r>
            <w:r>
              <w:rPr>
                <w:i/>
                <w:lang w:val="en-GB"/>
              </w:rPr>
              <w:t>28</w:t>
            </w:r>
            <w:r w:rsidRPr="00AA2350">
              <w:rPr>
                <w:i/>
                <w:lang w:val="en-GB"/>
              </w:rPr>
              <w:t xml:space="preserve"> calendar days</w:t>
            </w:r>
          </w:p>
        </w:tc>
        <w:tc>
          <w:tcPr>
            <w:tcW w:w="4508" w:type="dxa"/>
          </w:tcPr>
          <w:p w14:paraId="76BD344D" w14:textId="77777777" w:rsidR="00624E83" w:rsidRDefault="00624E83" w:rsidP="00A16421">
            <w:pPr>
              <w:jc w:val="left"/>
              <w:rPr>
                <w:lang w:val="en-GB"/>
              </w:rPr>
            </w:pPr>
            <w:r>
              <w:rPr>
                <w:lang w:val="en-GB"/>
              </w:rPr>
              <w:t>If a Stage 1 Response is not issued within 28 calendar days of receipt, or the complainant requests a stage 2 review by Lloyd’s, the case will be escalated to Lloyd’s</w:t>
            </w:r>
            <w:r w:rsidRPr="00C47A68">
              <w:rPr>
                <w:lang w:val="en-GB"/>
              </w:rPr>
              <w:t xml:space="preserve"> (</w:t>
            </w:r>
            <w:r w:rsidRPr="00C47A68">
              <w:rPr>
                <w:rFonts w:cs="Arial"/>
              </w:rPr>
              <w:t>Lloyd’s requires the casefile within three business days of their request)</w:t>
            </w:r>
          </w:p>
        </w:tc>
      </w:tr>
    </w:tbl>
    <w:p w14:paraId="4ABF64E0" w14:textId="77777777" w:rsidR="00067FC6" w:rsidRDefault="00067FC6" w:rsidP="005D2ECE">
      <w:pPr>
        <w:rPr>
          <w:lang w:val="en-GB"/>
        </w:rPr>
      </w:pPr>
    </w:p>
    <w:bookmarkEnd w:id="10"/>
    <w:p w14:paraId="2B8DB51A" w14:textId="77777777" w:rsidR="00D50AA9" w:rsidRDefault="00D50AA9" w:rsidP="005D2ECE">
      <w:pPr>
        <w:rPr>
          <w:lang w:val="en-GB"/>
        </w:rPr>
      </w:pPr>
    </w:p>
    <w:p w14:paraId="7669641C" w14:textId="77777777" w:rsidR="00C7755B" w:rsidRDefault="00C7755B" w:rsidP="005D2ECE">
      <w:pPr>
        <w:rPr>
          <w:lang w:val="en-GB"/>
        </w:rPr>
      </w:pPr>
      <w:r>
        <w:rPr>
          <w:lang w:val="en-GB"/>
        </w:rPr>
        <w:t>At the conclusion of th</w:t>
      </w:r>
      <w:r w:rsidR="00CC192D">
        <w:rPr>
          <w:lang w:val="en-GB"/>
        </w:rPr>
        <w:t>e</w:t>
      </w:r>
      <w:r>
        <w:rPr>
          <w:lang w:val="en-GB"/>
        </w:rPr>
        <w:t xml:space="preserve"> investigation, </w:t>
      </w:r>
      <w:r w:rsidR="00FC3DD2">
        <w:rPr>
          <w:lang w:val="en-GB"/>
        </w:rPr>
        <w:t>the handler will decide</w:t>
      </w:r>
      <w:r w:rsidR="006A4544">
        <w:rPr>
          <w:lang w:val="en-GB"/>
        </w:rPr>
        <w:t xml:space="preserve"> whether</w:t>
      </w:r>
      <w:r w:rsidR="00FC3DD2">
        <w:rPr>
          <w:lang w:val="en-GB"/>
        </w:rPr>
        <w:t>:</w:t>
      </w:r>
    </w:p>
    <w:p w14:paraId="443272D1" w14:textId="77777777" w:rsidR="00FC3DD2" w:rsidRDefault="00FC3DD2" w:rsidP="005D2ECE">
      <w:pPr>
        <w:rPr>
          <w:lang w:val="en-GB"/>
        </w:rPr>
      </w:pPr>
    </w:p>
    <w:p w14:paraId="5E6BA473" w14:textId="77777777" w:rsidR="00FC3DD2" w:rsidRDefault="006A4544" w:rsidP="006A4544">
      <w:pPr>
        <w:pStyle w:val="ListParagraph"/>
        <w:numPr>
          <w:ilvl w:val="0"/>
          <w:numId w:val="12"/>
        </w:numPr>
        <w:rPr>
          <w:lang w:val="en-GB"/>
        </w:rPr>
      </w:pPr>
      <w:r>
        <w:rPr>
          <w:lang w:val="en-GB"/>
        </w:rPr>
        <w:t>The complaint was justified or not.</w:t>
      </w:r>
    </w:p>
    <w:p w14:paraId="6290B886" w14:textId="77777777" w:rsidR="006A4544" w:rsidRDefault="00104919" w:rsidP="006A4544">
      <w:pPr>
        <w:pStyle w:val="ListParagraph"/>
        <w:numPr>
          <w:ilvl w:val="0"/>
          <w:numId w:val="12"/>
        </w:numPr>
        <w:rPr>
          <w:lang w:val="en-GB"/>
        </w:rPr>
      </w:pPr>
      <w:r>
        <w:rPr>
          <w:lang w:val="en-GB"/>
        </w:rPr>
        <w:t>The complaint should be upheld or rejected.</w:t>
      </w:r>
    </w:p>
    <w:p w14:paraId="6503EA55" w14:textId="77777777" w:rsidR="00104919" w:rsidRDefault="00104919" w:rsidP="006A4544">
      <w:pPr>
        <w:pStyle w:val="ListParagraph"/>
        <w:numPr>
          <w:ilvl w:val="0"/>
          <w:numId w:val="12"/>
        </w:numPr>
        <w:rPr>
          <w:lang w:val="en-GB"/>
        </w:rPr>
      </w:pPr>
      <w:r>
        <w:rPr>
          <w:lang w:val="en-GB"/>
        </w:rPr>
        <w:t>Any redress is due.</w:t>
      </w:r>
    </w:p>
    <w:p w14:paraId="6241B02B" w14:textId="77777777" w:rsidR="004D2B22" w:rsidRDefault="004D2B22" w:rsidP="004D2B22">
      <w:pPr>
        <w:rPr>
          <w:lang w:val="en-GB"/>
        </w:rPr>
      </w:pPr>
    </w:p>
    <w:p w14:paraId="0D10540A" w14:textId="5D2AA37E" w:rsidR="004D2B22" w:rsidRDefault="004D2B22" w:rsidP="004D2B22">
      <w:pPr>
        <w:rPr>
          <w:lang w:val="en-GB"/>
        </w:rPr>
      </w:pPr>
      <w:r>
        <w:rPr>
          <w:lang w:val="en-GB"/>
        </w:rPr>
        <w:t xml:space="preserve">Redress is intended not only to put a situation right, but also to </w:t>
      </w:r>
      <w:r w:rsidR="003D6602">
        <w:rPr>
          <w:lang w:val="en-GB"/>
        </w:rPr>
        <w:t xml:space="preserve">compensate a complainant for the stress and inconvenience that they have suffered. </w:t>
      </w:r>
      <w:r w:rsidR="00201C26">
        <w:rPr>
          <w:lang w:val="en-GB"/>
        </w:rPr>
        <w:t xml:space="preserve">The handler may propose a certain amount of monetary redress at their discretion, but before communicating this to the complainant or making any arrangements for payment, </w:t>
      </w:r>
      <w:r w:rsidR="007B379B">
        <w:rPr>
          <w:lang w:val="en-GB"/>
        </w:rPr>
        <w:t>they must obtain sign-off from Compliance.</w:t>
      </w:r>
    </w:p>
    <w:p w14:paraId="4674C51F" w14:textId="77777777" w:rsidR="007E45AA" w:rsidRDefault="007E45AA" w:rsidP="004D2B22">
      <w:pPr>
        <w:rPr>
          <w:lang w:val="en-GB"/>
        </w:rPr>
      </w:pPr>
    </w:p>
    <w:p w14:paraId="08BB06AA" w14:textId="77777777" w:rsidR="007E45AA" w:rsidRDefault="00CF6884" w:rsidP="004D2B22">
      <w:pPr>
        <w:rPr>
          <w:lang w:val="en-GB"/>
        </w:rPr>
      </w:pPr>
      <w:r>
        <w:rPr>
          <w:lang w:val="en-GB"/>
        </w:rPr>
        <w:t xml:space="preserve">Once </w:t>
      </w:r>
      <w:r w:rsidR="00D50AA9">
        <w:rPr>
          <w:lang w:val="en-GB"/>
        </w:rPr>
        <w:t xml:space="preserve">the handler has determined the final stance to be taken, this should be documented in a </w:t>
      </w:r>
      <w:r w:rsidR="0038660F">
        <w:rPr>
          <w:lang w:val="en-GB"/>
        </w:rPr>
        <w:t>F</w:t>
      </w:r>
      <w:r w:rsidR="00D50AA9">
        <w:rPr>
          <w:lang w:val="en-GB"/>
        </w:rPr>
        <w:t xml:space="preserve">inal </w:t>
      </w:r>
      <w:r w:rsidR="0038660F">
        <w:rPr>
          <w:lang w:val="en-GB"/>
        </w:rPr>
        <w:t>R</w:t>
      </w:r>
      <w:r w:rsidR="00D50AA9">
        <w:rPr>
          <w:lang w:val="en-GB"/>
        </w:rPr>
        <w:t xml:space="preserve">esponse </w:t>
      </w:r>
      <w:r w:rsidR="0038660F">
        <w:rPr>
          <w:lang w:val="en-GB"/>
        </w:rPr>
        <w:t>L</w:t>
      </w:r>
      <w:r w:rsidR="00D50AA9">
        <w:rPr>
          <w:lang w:val="en-GB"/>
        </w:rPr>
        <w:t>etter</w:t>
      </w:r>
      <w:r w:rsidR="00E340D7">
        <w:rPr>
          <w:lang w:val="en-GB"/>
        </w:rPr>
        <w:t>.</w:t>
      </w:r>
    </w:p>
    <w:p w14:paraId="09FB576A" w14:textId="77777777" w:rsidR="00E340D7" w:rsidRDefault="00E340D7" w:rsidP="004D2B22">
      <w:pPr>
        <w:rPr>
          <w:lang w:val="en-GB"/>
        </w:rPr>
      </w:pPr>
    </w:p>
    <w:p w14:paraId="0A554511" w14:textId="77777777" w:rsidR="00DA00CD" w:rsidRDefault="00E340D7" w:rsidP="004D2B22">
      <w:pPr>
        <w:rPr>
          <w:lang w:val="en-GB"/>
        </w:rPr>
      </w:pPr>
      <w:r>
        <w:rPr>
          <w:lang w:val="en-GB"/>
        </w:rPr>
        <w:t xml:space="preserve">We acknowledge </w:t>
      </w:r>
      <w:r w:rsidRPr="00E340D7">
        <w:rPr>
          <w:lang w:val="en-GB"/>
        </w:rPr>
        <w:t>that there are different definitions/timescales/processes for each territory</w:t>
      </w:r>
      <w:r>
        <w:rPr>
          <w:lang w:val="en-GB"/>
        </w:rPr>
        <w:t xml:space="preserve"> that we operate </w:t>
      </w:r>
      <w:proofErr w:type="gramStart"/>
      <w:r>
        <w:rPr>
          <w:lang w:val="en-GB"/>
        </w:rPr>
        <w:t>within</w:t>
      </w:r>
      <w:proofErr w:type="gramEnd"/>
      <w:r>
        <w:rPr>
          <w:lang w:val="en-GB"/>
        </w:rPr>
        <w:t xml:space="preserve"> and we will act in accordance with local procedures where necessary. Further guidance is provided by Lloyd’s.</w:t>
      </w:r>
      <w:r>
        <w:rPr>
          <w:rStyle w:val="FootnoteReference"/>
          <w:lang w:val="en-GB"/>
        </w:rPr>
        <w:footnoteReference w:id="1"/>
      </w:r>
    </w:p>
    <w:p w14:paraId="56458BC1" w14:textId="77777777" w:rsidR="00A172D8" w:rsidRDefault="00A172D8">
      <w:pPr>
        <w:widowControl/>
        <w:overflowPunct/>
        <w:autoSpaceDE/>
        <w:autoSpaceDN/>
        <w:adjustRightInd/>
        <w:spacing w:after="160" w:line="259" w:lineRule="auto"/>
        <w:jc w:val="left"/>
        <w:textAlignment w:val="auto"/>
        <w:rPr>
          <w:lang w:val="en-GB"/>
        </w:rPr>
      </w:pPr>
    </w:p>
    <w:p w14:paraId="7406FCAE" w14:textId="492D4F01" w:rsidR="00A172D8" w:rsidRPr="00A172D8" w:rsidRDefault="00A172D8" w:rsidP="00A172D8">
      <w:pPr>
        <w:pStyle w:val="NoSpacing"/>
        <w:rPr>
          <w:lang w:val="en-GB"/>
        </w:rPr>
      </w:pPr>
      <w:r w:rsidRPr="00A172D8">
        <w:rPr>
          <w:lang w:val="en-GB"/>
        </w:rPr>
        <w:t>Financial Ombudsman Service</w:t>
      </w:r>
      <w:r>
        <w:rPr>
          <w:lang w:val="en-GB"/>
        </w:rPr>
        <w:t>:</w:t>
      </w:r>
    </w:p>
    <w:p w14:paraId="37A44054" w14:textId="082D33EA" w:rsidR="00575626" w:rsidRDefault="00A172D8" w:rsidP="00A172D8">
      <w:pPr>
        <w:pStyle w:val="NoSpacing"/>
        <w:rPr>
          <w:rFonts w:eastAsiaTheme="majorEastAsia" w:cstheme="majorBidi"/>
          <w:b/>
          <w:color w:val="2F5496" w:themeColor="accent1" w:themeShade="BF"/>
          <w:sz w:val="22"/>
          <w:szCs w:val="32"/>
          <w:lang w:val="en-GB"/>
        </w:rPr>
      </w:pPr>
      <w:r w:rsidRPr="00A172D8">
        <w:rPr>
          <w:lang w:val="en-GB"/>
        </w:rPr>
        <w:t xml:space="preserve">If the complainant has not been provided by a final response within eight weeks or is otherwise unhappy with our response and proposed course of action they may refer the complaint to the Ombudsman of Private Insurance, In Gassen 14, </w:t>
      </w:r>
      <w:proofErr w:type="spellStart"/>
      <w:r w:rsidRPr="00A172D8">
        <w:rPr>
          <w:lang w:val="en-GB"/>
        </w:rPr>
        <w:t>Postfach</w:t>
      </w:r>
      <w:proofErr w:type="spellEnd"/>
      <w:r w:rsidRPr="00A172D8">
        <w:rPr>
          <w:lang w:val="en-GB"/>
        </w:rPr>
        <w:t xml:space="preserve"> 181, 8024 Zurich. </w:t>
      </w:r>
      <w:r w:rsidR="00575626">
        <w:rPr>
          <w:lang w:val="en-GB"/>
        </w:rPr>
        <w:br w:type="page"/>
      </w:r>
    </w:p>
    <w:p w14:paraId="04476290" w14:textId="6A9A2C59" w:rsidR="00DA00CD" w:rsidRDefault="00DA00CD" w:rsidP="00DA00CD">
      <w:pPr>
        <w:pStyle w:val="Heading1"/>
        <w:rPr>
          <w:lang w:val="en-GB"/>
        </w:rPr>
      </w:pPr>
      <w:r>
        <w:rPr>
          <w:lang w:val="en-GB"/>
        </w:rPr>
        <w:lastRenderedPageBreak/>
        <w:t>Complaints Handling Principles</w:t>
      </w:r>
    </w:p>
    <w:p w14:paraId="419CE96E" w14:textId="77777777" w:rsidR="00DA00CD" w:rsidRDefault="00DA00CD" w:rsidP="00DA00CD">
      <w:pPr>
        <w:rPr>
          <w:lang w:val="en-GB"/>
        </w:rPr>
      </w:pPr>
    </w:p>
    <w:p w14:paraId="3BB406DD" w14:textId="77777777" w:rsidR="00DA00CD" w:rsidRDefault="00DA00CD" w:rsidP="00DA00CD">
      <w:pPr>
        <w:rPr>
          <w:lang w:val="en-GB"/>
        </w:rPr>
      </w:pPr>
      <w:r>
        <w:rPr>
          <w:lang w:val="en-GB"/>
        </w:rPr>
        <w:t>T</w:t>
      </w:r>
      <w:r w:rsidRPr="00DA00CD">
        <w:rPr>
          <w:lang w:val="en-GB"/>
        </w:rPr>
        <w:t xml:space="preserve">he following principles </w:t>
      </w:r>
      <w:r>
        <w:rPr>
          <w:lang w:val="en-GB"/>
        </w:rPr>
        <w:t xml:space="preserve">are based on </w:t>
      </w:r>
      <w:r w:rsidRPr="00DA00CD">
        <w:rPr>
          <w:lang w:val="en-GB"/>
        </w:rPr>
        <w:t xml:space="preserve">good </w:t>
      </w:r>
      <w:r>
        <w:rPr>
          <w:lang w:val="en-GB"/>
        </w:rPr>
        <w:t xml:space="preserve">industry </w:t>
      </w:r>
      <w:r w:rsidRPr="00DA00CD">
        <w:rPr>
          <w:lang w:val="en-GB"/>
        </w:rPr>
        <w:t>practice for complaint handling</w:t>
      </w:r>
      <w:r w:rsidR="00A55341">
        <w:rPr>
          <w:lang w:val="en-GB"/>
        </w:rPr>
        <w:t xml:space="preserve"> and </w:t>
      </w:r>
      <w:r w:rsidRPr="00DA00CD">
        <w:rPr>
          <w:lang w:val="en-GB"/>
        </w:rPr>
        <w:t xml:space="preserve">are consistent with ISO 10002 </w:t>
      </w:r>
      <w:proofErr w:type="gramStart"/>
      <w:r w:rsidRPr="00DA00CD">
        <w:rPr>
          <w:lang w:val="en-GB"/>
        </w:rPr>
        <w:t>standards;</w:t>
      </w:r>
      <w:proofErr w:type="gramEnd"/>
      <w:r w:rsidRPr="00DA00CD">
        <w:rPr>
          <w:lang w:val="en-GB"/>
        </w:rPr>
        <w:t xml:space="preserve"> internationally recognised guidelines for an effective and efficient complaints handling process</w:t>
      </w:r>
      <w:r w:rsidR="00A55341">
        <w:rPr>
          <w:lang w:val="en-GB"/>
        </w:rPr>
        <w:t>:</w:t>
      </w:r>
    </w:p>
    <w:p w14:paraId="04782754" w14:textId="77777777" w:rsidR="00DA00CD" w:rsidRDefault="00DA00CD" w:rsidP="00DA00CD">
      <w:pPr>
        <w:rPr>
          <w:lang w:val="en-GB"/>
        </w:rPr>
      </w:pPr>
    </w:p>
    <w:p w14:paraId="1089693B" w14:textId="77777777" w:rsidR="00DA00CD" w:rsidRDefault="00DA00CD" w:rsidP="00DA00CD">
      <w:pPr>
        <w:rPr>
          <w:lang w:val="en-GB"/>
        </w:rPr>
      </w:pPr>
      <w:r w:rsidRPr="00E340D7">
        <w:rPr>
          <w:b/>
          <w:lang w:val="en-GB"/>
        </w:rPr>
        <w:t>Visibility</w:t>
      </w:r>
      <w:r w:rsidRPr="00DA00CD">
        <w:rPr>
          <w:lang w:val="en-GB"/>
        </w:rPr>
        <w:t xml:space="preserve"> </w:t>
      </w:r>
    </w:p>
    <w:p w14:paraId="0296BA41" w14:textId="77777777" w:rsidR="00DA00CD" w:rsidRPr="00DA00CD" w:rsidRDefault="00DA00CD" w:rsidP="00DA00CD">
      <w:pPr>
        <w:rPr>
          <w:lang w:val="en-GB"/>
        </w:rPr>
      </w:pPr>
      <w:r w:rsidRPr="00DA00CD">
        <w:rPr>
          <w:lang w:val="en-GB"/>
        </w:rPr>
        <w:t xml:space="preserve">Information about how to complain is available on </w:t>
      </w:r>
      <w:r w:rsidR="00A55341" w:rsidRPr="00E340D7">
        <w:rPr>
          <w:lang w:val="en-GB"/>
        </w:rPr>
        <w:t xml:space="preserve">our </w:t>
      </w:r>
      <w:r w:rsidRPr="00E340D7">
        <w:rPr>
          <w:lang w:val="en-GB"/>
        </w:rPr>
        <w:t>websites</w:t>
      </w:r>
      <w:r w:rsidRPr="00DA00CD">
        <w:rPr>
          <w:lang w:val="en-GB"/>
        </w:rPr>
        <w:t xml:space="preserve">. </w:t>
      </w:r>
      <w:r w:rsidR="000117D5">
        <w:rPr>
          <w:lang w:val="en-GB"/>
        </w:rPr>
        <w:t xml:space="preserve">Employees </w:t>
      </w:r>
      <w:r w:rsidRPr="00DA00CD">
        <w:rPr>
          <w:lang w:val="en-GB"/>
        </w:rPr>
        <w:t xml:space="preserve">are informed about the complaints process and able to advise our customers on how to make a complaint. As an organisation we are committed to excellent </w:t>
      </w:r>
      <w:proofErr w:type="gramStart"/>
      <w:r w:rsidRPr="00DA00CD">
        <w:rPr>
          <w:lang w:val="en-GB"/>
        </w:rPr>
        <w:t>service</w:t>
      </w:r>
      <w:proofErr w:type="gramEnd"/>
      <w:r w:rsidRPr="00DA00CD">
        <w:rPr>
          <w:lang w:val="en-GB"/>
        </w:rPr>
        <w:t xml:space="preserve"> and we try to make sure that our complaints process is open and transparent.  </w:t>
      </w:r>
    </w:p>
    <w:p w14:paraId="6B73FD78" w14:textId="77777777" w:rsidR="00DA00CD" w:rsidRDefault="00DA00CD" w:rsidP="00DA00CD">
      <w:pPr>
        <w:rPr>
          <w:lang w:val="en-GB"/>
        </w:rPr>
      </w:pPr>
    </w:p>
    <w:p w14:paraId="5BCFC4BA" w14:textId="77777777" w:rsidR="00DA00CD" w:rsidRDefault="00DA00CD" w:rsidP="00DA00CD">
      <w:pPr>
        <w:rPr>
          <w:lang w:val="en-GB"/>
        </w:rPr>
      </w:pPr>
      <w:r w:rsidRPr="00E340D7">
        <w:rPr>
          <w:b/>
          <w:lang w:val="en-GB"/>
        </w:rPr>
        <w:t>Accessibility</w:t>
      </w:r>
      <w:r w:rsidRPr="00DA00CD">
        <w:rPr>
          <w:lang w:val="en-GB"/>
        </w:rPr>
        <w:t xml:space="preserve"> </w:t>
      </w:r>
    </w:p>
    <w:p w14:paraId="4CBB0623" w14:textId="77777777" w:rsidR="00A55341" w:rsidRDefault="00DA00CD" w:rsidP="00DA00CD">
      <w:pPr>
        <w:rPr>
          <w:lang w:val="en-GB"/>
        </w:rPr>
      </w:pPr>
      <w:r w:rsidRPr="00DA00CD">
        <w:rPr>
          <w:lang w:val="en-GB"/>
        </w:rPr>
        <w:t xml:space="preserve">We aim to ensure that all our customers </w:t>
      </w:r>
      <w:proofErr w:type="gramStart"/>
      <w:r w:rsidRPr="00DA00CD">
        <w:rPr>
          <w:lang w:val="en-GB"/>
        </w:rPr>
        <w:t>are able to</w:t>
      </w:r>
      <w:proofErr w:type="gramEnd"/>
      <w:r w:rsidRPr="00DA00CD">
        <w:rPr>
          <w:lang w:val="en-GB"/>
        </w:rPr>
        <w:t xml:space="preserve"> make a complaint easily.</w:t>
      </w:r>
      <w:r w:rsidR="00A55341">
        <w:rPr>
          <w:lang w:val="en-GB"/>
        </w:rPr>
        <w:t xml:space="preserve"> </w:t>
      </w:r>
      <w:r w:rsidR="00A55341" w:rsidRPr="00A55341">
        <w:rPr>
          <w:lang w:val="en-GB"/>
        </w:rPr>
        <w:t xml:space="preserve">We </w:t>
      </w:r>
      <w:r w:rsidR="00A55341">
        <w:rPr>
          <w:lang w:val="en-GB"/>
        </w:rPr>
        <w:t xml:space="preserve">are committed to </w:t>
      </w:r>
      <w:r w:rsidR="00A55341" w:rsidRPr="00A55341">
        <w:rPr>
          <w:lang w:val="en-GB"/>
        </w:rPr>
        <w:t>mak</w:t>
      </w:r>
      <w:r w:rsidR="00A55341">
        <w:rPr>
          <w:lang w:val="en-GB"/>
        </w:rPr>
        <w:t>ing</w:t>
      </w:r>
      <w:r w:rsidR="00A55341" w:rsidRPr="00A55341">
        <w:rPr>
          <w:lang w:val="en-GB"/>
        </w:rPr>
        <w:t xml:space="preserve"> reasonable adjustments for </w:t>
      </w:r>
      <w:r w:rsidR="00A55341">
        <w:rPr>
          <w:lang w:val="en-GB"/>
        </w:rPr>
        <w:t xml:space="preserve">complainants with </w:t>
      </w:r>
      <w:r w:rsidR="00A55341" w:rsidRPr="00A55341">
        <w:rPr>
          <w:lang w:val="en-GB"/>
        </w:rPr>
        <w:t>accessibility needs or a disability, for example, taking complaints over the phone</w:t>
      </w:r>
      <w:r w:rsidR="00A55341">
        <w:rPr>
          <w:lang w:val="en-GB"/>
        </w:rPr>
        <w:t>.</w:t>
      </w:r>
    </w:p>
    <w:p w14:paraId="3DE73C24" w14:textId="77777777" w:rsidR="00A55341" w:rsidRDefault="00A55341" w:rsidP="00DA00CD">
      <w:pPr>
        <w:rPr>
          <w:lang w:val="en-GB"/>
        </w:rPr>
      </w:pPr>
    </w:p>
    <w:p w14:paraId="6AFAF93B" w14:textId="77777777" w:rsidR="009261FD" w:rsidRDefault="00A55341" w:rsidP="00A55341">
      <w:pPr>
        <w:rPr>
          <w:lang w:val="en-GB"/>
        </w:rPr>
      </w:pPr>
      <w:r w:rsidRPr="00E340D7">
        <w:rPr>
          <w:b/>
          <w:lang w:val="en-GB"/>
        </w:rPr>
        <w:t>Responsiveness</w:t>
      </w:r>
    </w:p>
    <w:p w14:paraId="39384991" w14:textId="77777777" w:rsidR="00A55341" w:rsidRDefault="00A55341" w:rsidP="009261FD">
      <w:pPr>
        <w:rPr>
          <w:lang w:val="en-GB"/>
        </w:rPr>
      </w:pPr>
      <w:r w:rsidRPr="00A55341">
        <w:rPr>
          <w:lang w:val="en-GB"/>
        </w:rPr>
        <w:t xml:space="preserve">We aim </w:t>
      </w:r>
      <w:proofErr w:type="gramStart"/>
      <w:r w:rsidRPr="00A55341">
        <w:rPr>
          <w:lang w:val="en-GB"/>
        </w:rPr>
        <w:t>to:</w:t>
      </w:r>
      <w:proofErr w:type="gramEnd"/>
      <w:r w:rsidR="009261FD">
        <w:rPr>
          <w:lang w:val="en-GB"/>
        </w:rPr>
        <w:t xml:space="preserve"> a</w:t>
      </w:r>
      <w:r w:rsidRPr="00A55341">
        <w:rPr>
          <w:lang w:val="en-GB"/>
        </w:rPr>
        <w:t xml:space="preserve">cknowledge receipt of complaints as soon as possible, </w:t>
      </w:r>
      <w:r w:rsidR="009261FD">
        <w:rPr>
          <w:lang w:val="en-GB"/>
        </w:rPr>
        <w:t>w</w:t>
      </w:r>
      <w:r w:rsidRPr="00A55341">
        <w:rPr>
          <w:lang w:val="en-GB"/>
        </w:rPr>
        <w:t>here a complaint raises a serious risk or relates to a time-sensitive issue, we will try to prioritise it</w:t>
      </w:r>
      <w:r w:rsidR="009261FD">
        <w:rPr>
          <w:lang w:val="en-GB"/>
        </w:rPr>
        <w:t xml:space="preserve">. </w:t>
      </w:r>
    </w:p>
    <w:p w14:paraId="3F6B0057" w14:textId="77777777" w:rsidR="009261FD" w:rsidRPr="00A55341" w:rsidRDefault="009261FD">
      <w:pPr>
        <w:rPr>
          <w:lang w:val="en-GB"/>
        </w:rPr>
      </w:pPr>
    </w:p>
    <w:p w14:paraId="06F8DA15" w14:textId="77777777" w:rsidR="009261FD" w:rsidRDefault="00A55341" w:rsidP="00A55341">
      <w:pPr>
        <w:rPr>
          <w:lang w:val="en-GB"/>
        </w:rPr>
      </w:pPr>
      <w:r w:rsidRPr="00E340D7">
        <w:rPr>
          <w:b/>
          <w:lang w:val="en-GB"/>
        </w:rPr>
        <w:t>Objectivity</w:t>
      </w:r>
      <w:r w:rsidRPr="00A55341">
        <w:rPr>
          <w:lang w:val="en-GB"/>
        </w:rPr>
        <w:t xml:space="preserve"> </w:t>
      </w:r>
    </w:p>
    <w:p w14:paraId="13D30E41" w14:textId="77777777" w:rsidR="00A55341" w:rsidRDefault="00A55341" w:rsidP="00A55341">
      <w:pPr>
        <w:rPr>
          <w:lang w:val="en-GB"/>
        </w:rPr>
      </w:pPr>
      <w:r w:rsidRPr="00A55341">
        <w:rPr>
          <w:lang w:val="en-GB"/>
        </w:rPr>
        <w:t>We treat every complaint on its merits, regardless of who has made the complaint. We act honestly and treat all complainants fairly and with respect.</w:t>
      </w:r>
    </w:p>
    <w:p w14:paraId="22D6970D" w14:textId="77777777" w:rsidR="009261FD" w:rsidRPr="00A55341" w:rsidRDefault="009261FD" w:rsidP="00A55341">
      <w:pPr>
        <w:rPr>
          <w:lang w:val="en-GB"/>
        </w:rPr>
      </w:pPr>
    </w:p>
    <w:p w14:paraId="1D6D937C" w14:textId="77777777" w:rsidR="009261FD" w:rsidRDefault="00A55341" w:rsidP="00A55341">
      <w:pPr>
        <w:rPr>
          <w:lang w:val="en-GB"/>
        </w:rPr>
      </w:pPr>
      <w:r w:rsidRPr="00E340D7">
        <w:rPr>
          <w:b/>
          <w:lang w:val="en-GB"/>
        </w:rPr>
        <w:t>Confidentiality</w:t>
      </w:r>
    </w:p>
    <w:p w14:paraId="0FBFB3A6" w14:textId="77777777" w:rsidR="0049113A" w:rsidRDefault="009261FD" w:rsidP="00A55341">
      <w:pPr>
        <w:rPr>
          <w:lang w:val="en-GB"/>
        </w:rPr>
      </w:pPr>
      <w:r>
        <w:rPr>
          <w:lang w:val="en-GB"/>
        </w:rPr>
        <w:t xml:space="preserve">Personally identifiable information concerning the complainant should be available where needed but only for the purposes of addressing the complaint. </w:t>
      </w:r>
      <w:r w:rsidR="0049113A">
        <w:rPr>
          <w:lang w:val="en-GB"/>
        </w:rPr>
        <w:t>Where r</w:t>
      </w:r>
      <w:r w:rsidR="00A55341" w:rsidRPr="00A55341">
        <w:rPr>
          <w:lang w:val="en-GB"/>
        </w:rPr>
        <w:t>eport</w:t>
      </w:r>
      <w:r>
        <w:rPr>
          <w:lang w:val="en-GB"/>
        </w:rPr>
        <w:t>s</w:t>
      </w:r>
      <w:r w:rsidR="00A55341" w:rsidRPr="00A55341">
        <w:rPr>
          <w:lang w:val="en-GB"/>
        </w:rPr>
        <w:t xml:space="preserve"> on complaints </w:t>
      </w:r>
      <w:r w:rsidR="0049113A">
        <w:rPr>
          <w:lang w:val="en-GB"/>
        </w:rPr>
        <w:t xml:space="preserve">are compiled, this is for the purpose of </w:t>
      </w:r>
      <w:r w:rsidR="00A55341" w:rsidRPr="00A55341">
        <w:rPr>
          <w:lang w:val="en-GB"/>
        </w:rPr>
        <w:t>understand</w:t>
      </w:r>
      <w:r w:rsidR="0049113A">
        <w:rPr>
          <w:lang w:val="en-GB"/>
        </w:rPr>
        <w:t>ing</w:t>
      </w:r>
      <w:r w:rsidR="00A55341" w:rsidRPr="00A55341">
        <w:rPr>
          <w:lang w:val="en-GB"/>
        </w:rPr>
        <w:t xml:space="preserve"> and improv</w:t>
      </w:r>
      <w:r w:rsidR="0049113A">
        <w:rPr>
          <w:lang w:val="en-GB"/>
        </w:rPr>
        <w:t>ing</w:t>
      </w:r>
      <w:r w:rsidR="00A55341" w:rsidRPr="00A55341">
        <w:rPr>
          <w:lang w:val="en-GB"/>
        </w:rPr>
        <w:t xml:space="preserve"> the performance of our complaints process and of our services. </w:t>
      </w:r>
    </w:p>
    <w:p w14:paraId="485B923D" w14:textId="77777777" w:rsidR="0049113A" w:rsidRDefault="0049113A" w:rsidP="00A55341">
      <w:pPr>
        <w:rPr>
          <w:lang w:val="en-GB"/>
        </w:rPr>
      </w:pPr>
    </w:p>
    <w:p w14:paraId="7C060B11" w14:textId="77777777" w:rsidR="0049113A" w:rsidRPr="00E340D7" w:rsidRDefault="0049113A" w:rsidP="00A55341">
      <w:pPr>
        <w:rPr>
          <w:b/>
          <w:lang w:val="en-GB"/>
        </w:rPr>
      </w:pPr>
      <w:r w:rsidRPr="00E340D7">
        <w:rPr>
          <w:b/>
          <w:lang w:val="en-GB"/>
        </w:rPr>
        <w:t>Customer-</w:t>
      </w:r>
      <w:r w:rsidR="00E340D7">
        <w:rPr>
          <w:b/>
          <w:lang w:val="en-GB"/>
        </w:rPr>
        <w:t>f</w:t>
      </w:r>
      <w:r w:rsidRPr="00E340D7">
        <w:rPr>
          <w:b/>
          <w:lang w:val="en-GB"/>
        </w:rPr>
        <w:t xml:space="preserve">ocused </w:t>
      </w:r>
      <w:r w:rsidR="00E340D7">
        <w:rPr>
          <w:b/>
          <w:lang w:val="en-GB"/>
        </w:rPr>
        <w:t>a</w:t>
      </w:r>
      <w:r w:rsidRPr="00E340D7">
        <w:rPr>
          <w:b/>
          <w:lang w:val="en-GB"/>
        </w:rPr>
        <w:t>pproach</w:t>
      </w:r>
      <w:r w:rsidR="00A55341" w:rsidRPr="00E340D7">
        <w:rPr>
          <w:b/>
          <w:lang w:val="en-GB"/>
        </w:rPr>
        <w:t xml:space="preserve"> </w:t>
      </w:r>
    </w:p>
    <w:p w14:paraId="0EE3945F" w14:textId="77777777" w:rsidR="00A55341" w:rsidRPr="00A55341" w:rsidRDefault="0049113A">
      <w:pPr>
        <w:rPr>
          <w:lang w:val="en-GB"/>
        </w:rPr>
      </w:pPr>
      <w:r>
        <w:rPr>
          <w:lang w:val="en-GB"/>
        </w:rPr>
        <w:t>The Company adopts a customer-focussed approach, is open to feedback including complaints and shows commitment to resolving complaints by its actions.</w:t>
      </w:r>
      <w:r w:rsidR="00A55341" w:rsidRPr="00A55341">
        <w:rPr>
          <w:lang w:val="en-GB"/>
        </w:rPr>
        <w:t xml:space="preserve">  </w:t>
      </w:r>
    </w:p>
    <w:p w14:paraId="4BBFCA77" w14:textId="77777777" w:rsidR="00A55341" w:rsidRPr="00A55341" w:rsidRDefault="00A55341" w:rsidP="00A55341">
      <w:pPr>
        <w:rPr>
          <w:lang w:val="en-GB"/>
        </w:rPr>
      </w:pPr>
      <w:r w:rsidRPr="00A55341">
        <w:rPr>
          <w:lang w:val="en-GB"/>
        </w:rPr>
        <w:t xml:space="preserve"> </w:t>
      </w:r>
    </w:p>
    <w:p w14:paraId="17C71BC9" w14:textId="77777777" w:rsidR="0049113A" w:rsidRDefault="00A55341" w:rsidP="00A55341">
      <w:pPr>
        <w:rPr>
          <w:lang w:val="en-GB"/>
        </w:rPr>
      </w:pPr>
      <w:r w:rsidRPr="00E340D7">
        <w:rPr>
          <w:b/>
          <w:lang w:val="en-GB"/>
        </w:rPr>
        <w:t>Continual improvement</w:t>
      </w:r>
    </w:p>
    <w:p w14:paraId="6B28FC02" w14:textId="18CE6589" w:rsidR="00575626" w:rsidRPr="00575626" w:rsidRDefault="0049113A" w:rsidP="00575626">
      <w:pPr>
        <w:rPr>
          <w:lang w:val="en-GB"/>
        </w:rPr>
      </w:pPr>
      <w:r>
        <w:rPr>
          <w:lang w:val="en-GB"/>
        </w:rPr>
        <w:t>The continual improvement of the complaints</w:t>
      </w:r>
      <w:r w:rsidR="00DF462F">
        <w:rPr>
          <w:lang w:val="en-GB"/>
        </w:rPr>
        <w:t xml:space="preserve"> </w:t>
      </w:r>
      <w:r>
        <w:rPr>
          <w:lang w:val="en-GB"/>
        </w:rPr>
        <w:t>handling process is a permanent objective of the Company</w:t>
      </w:r>
      <w:r w:rsidR="00A55341" w:rsidRPr="00A55341">
        <w:rPr>
          <w:lang w:val="en-GB"/>
        </w:rPr>
        <w:t>. We encourage all staff to use complaints as a learning opportunity</w:t>
      </w:r>
      <w:r w:rsidR="00DF462F">
        <w:rPr>
          <w:lang w:val="en-GB"/>
        </w:rPr>
        <w:t xml:space="preserve"> and a</w:t>
      </w:r>
      <w:r w:rsidR="00A55341" w:rsidRPr="00A55341">
        <w:rPr>
          <w:lang w:val="en-GB"/>
        </w:rPr>
        <w:t>ll complaints handlers have an ongoing objective to contribute to continuous improvement of the complaints handling process, by making suggestions for improvements and monitoring performance.</w:t>
      </w:r>
      <w:r w:rsidR="00575626">
        <w:rPr>
          <w:lang w:val="en-GB"/>
        </w:rPr>
        <w:br w:type="page"/>
      </w:r>
    </w:p>
    <w:p w14:paraId="13DD6DF3" w14:textId="3344A2DE" w:rsidR="0051469C" w:rsidRDefault="0051469C" w:rsidP="0051469C">
      <w:pPr>
        <w:pStyle w:val="Heading1"/>
        <w:rPr>
          <w:lang w:val="en-GB"/>
        </w:rPr>
      </w:pPr>
      <w:r w:rsidRPr="0051469C">
        <w:rPr>
          <w:lang w:val="en-GB"/>
        </w:rPr>
        <w:lastRenderedPageBreak/>
        <w:t>Complaint</w:t>
      </w:r>
      <w:r>
        <w:rPr>
          <w:lang w:val="en-GB"/>
        </w:rPr>
        <w:t xml:space="preserve"> Recording</w:t>
      </w:r>
    </w:p>
    <w:p w14:paraId="4E7D1B3B" w14:textId="77777777" w:rsidR="00F65ADD" w:rsidRPr="00E340D7" w:rsidRDefault="00F65ADD" w:rsidP="00F65ADD">
      <w:pPr>
        <w:widowControl/>
        <w:overflowPunct/>
        <w:autoSpaceDE/>
        <w:autoSpaceDN/>
        <w:adjustRightInd/>
        <w:spacing w:before="210" w:after="210"/>
        <w:textAlignment w:val="auto"/>
        <w:rPr>
          <w:rFonts w:cs="Arial"/>
          <w:lang w:val="en-GB"/>
        </w:rPr>
      </w:pPr>
      <w:r w:rsidRPr="00E340D7">
        <w:rPr>
          <w:rFonts w:cs="Arial"/>
          <w:lang w:val="en-GB"/>
        </w:rPr>
        <w:t xml:space="preserve">All complaints, whether formal or informal, are recorded on </w:t>
      </w:r>
      <w:r>
        <w:rPr>
          <w:rFonts w:cs="Arial"/>
          <w:lang w:val="en-GB"/>
        </w:rPr>
        <w:t>the</w:t>
      </w:r>
      <w:r w:rsidRPr="00E340D7">
        <w:rPr>
          <w:rFonts w:cs="Arial"/>
          <w:lang w:val="en-GB"/>
        </w:rPr>
        <w:t xml:space="preserve"> </w:t>
      </w:r>
      <w:r>
        <w:rPr>
          <w:rFonts w:cs="Arial"/>
          <w:lang w:val="en-GB"/>
        </w:rPr>
        <w:t xml:space="preserve">Central </w:t>
      </w:r>
      <w:r w:rsidRPr="00E340D7">
        <w:rPr>
          <w:rFonts w:cs="Arial"/>
          <w:lang w:val="en-GB"/>
        </w:rPr>
        <w:t xml:space="preserve">Complaints Register. The </w:t>
      </w:r>
      <w:r>
        <w:rPr>
          <w:rFonts w:cs="Arial"/>
          <w:lang w:val="en-GB"/>
        </w:rPr>
        <w:t>R</w:t>
      </w:r>
      <w:r w:rsidRPr="00E340D7">
        <w:rPr>
          <w:rFonts w:cs="Arial"/>
          <w:lang w:val="en-GB"/>
        </w:rPr>
        <w:t>egister consist</w:t>
      </w:r>
      <w:r>
        <w:rPr>
          <w:rFonts w:cs="Arial"/>
          <w:lang w:val="en-GB"/>
        </w:rPr>
        <w:t>s</w:t>
      </w:r>
      <w:r w:rsidRPr="00E340D7">
        <w:rPr>
          <w:rFonts w:cs="Arial"/>
          <w:lang w:val="en-GB"/>
        </w:rPr>
        <w:t xml:space="preserve"> of the below information and </w:t>
      </w:r>
      <w:r>
        <w:rPr>
          <w:rFonts w:cs="Arial"/>
          <w:lang w:val="en-GB"/>
        </w:rPr>
        <w:t xml:space="preserve">will be reviewed periodically </w:t>
      </w:r>
      <w:r w:rsidRPr="00E340D7">
        <w:rPr>
          <w:rFonts w:cs="Arial"/>
          <w:lang w:val="en-GB"/>
        </w:rPr>
        <w:t xml:space="preserve">to </w:t>
      </w:r>
      <w:r>
        <w:rPr>
          <w:rFonts w:cs="Arial"/>
          <w:lang w:val="en-GB"/>
        </w:rPr>
        <w:t xml:space="preserve">prevent similar </w:t>
      </w:r>
      <w:r w:rsidRPr="00E340D7">
        <w:rPr>
          <w:rFonts w:cs="Arial"/>
          <w:lang w:val="en-GB"/>
        </w:rPr>
        <w:t xml:space="preserve">incidents </w:t>
      </w:r>
      <w:r>
        <w:rPr>
          <w:rFonts w:cs="Arial"/>
          <w:lang w:val="en-GB"/>
        </w:rPr>
        <w:t xml:space="preserve">reoccurring </w:t>
      </w:r>
      <w:r w:rsidRPr="00E340D7">
        <w:rPr>
          <w:rFonts w:cs="Arial"/>
          <w:lang w:val="en-GB"/>
        </w:rPr>
        <w:t xml:space="preserve">and </w:t>
      </w:r>
      <w:r>
        <w:rPr>
          <w:rFonts w:cs="Arial"/>
          <w:lang w:val="en-GB"/>
        </w:rPr>
        <w:t xml:space="preserve">ensure </w:t>
      </w:r>
      <w:r w:rsidRPr="00E340D7">
        <w:rPr>
          <w:rFonts w:cs="Arial"/>
          <w:lang w:val="en-GB"/>
        </w:rPr>
        <w:t>improvements are being made.</w:t>
      </w:r>
    </w:p>
    <w:p w14:paraId="308A7A21" w14:textId="77777777" w:rsidR="00F65ADD"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Pr>
          <w:rFonts w:cs="Arial"/>
          <w:lang w:val="en-GB"/>
        </w:rPr>
        <w:t>Name of Complainant (Complainant’s Representative)</w:t>
      </w:r>
    </w:p>
    <w:p w14:paraId="4B7C19B5"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sidRPr="00E340D7">
        <w:rPr>
          <w:rFonts w:cs="Arial"/>
          <w:lang w:val="en-GB"/>
        </w:rPr>
        <w:t>Date</w:t>
      </w:r>
      <w:r>
        <w:rPr>
          <w:rFonts w:cs="Arial"/>
          <w:lang w:val="en-GB"/>
        </w:rPr>
        <w:t xml:space="preserve"> Complaint Received</w:t>
      </w:r>
    </w:p>
    <w:p w14:paraId="72F306CC"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sidRPr="00E340D7">
        <w:rPr>
          <w:rFonts w:cs="Arial"/>
          <w:lang w:val="en-GB"/>
        </w:rPr>
        <w:t>Nature of Complaint</w:t>
      </w:r>
    </w:p>
    <w:p w14:paraId="7058BC56"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sidRPr="00E340D7">
        <w:rPr>
          <w:rFonts w:cs="Arial"/>
          <w:lang w:val="en-GB"/>
        </w:rPr>
        <w:t xml:space="preserve">Department(s) </w:t>
      </w:r>
      <w:proofErr w:type="gramStart"/>
      <w:r w:rsidRPr="00E340D7">
        <w:rPr>
          <w:rFonts w:cs="Arial"/>
          <w:lang w:val="en-GB"/>
        </w:rPr>
        <w:t>Involved</w:t>
      </w:r>
      <w:proofErr w:type="gramEnd"/>
    </w:p>
    <w:p w14:paraId="173E35BE"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sidRPr="00E340D7">
        <w:rPr>
          <w:rFonts w:cs="Arial"/>
          <w:lang w:val="en-GB"/>
        </w:rPr>
        <w:t>Complaint Reference</w:t>
      </w:r>
    </w:p>
    <w:p w14:paraId="48A06F4C"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Pr>
          <w:rFonts w:cs="Arial"/>
          <w:lang w:val="en-GB"/>
        </w:rPr>
        <w:t>Complaint Handler/s</w:t>
      </w:r>
    </w:p>
    <w:p w14:paraId="4DDA9611"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Pr>
          <w:rFonts w:cs="Arial"/>
          <w:lang w:val="en-GB"/>
        </w:rPr>
        <w:t>FRL Sent</w:t>
      </w:r>
      <w:r w:rsidRPr="00E340D7">
        <w:rPr>
          <w:rFonts w:cs="Arial"/>
          <w:lang w:val="en-GB"/>
        </w:rPr>
        <w:t xml:space="preserve"> (Y/N)</w:t>
      </w:r>
    </w:p>
    <w:p w14:paraId="55BBF3C0" w14:textId="77777777" w:rsidR="00F65ADD" w:rsidRPr="00E340D7" w:rsidRDefault="00F65ADD" w:rsidP="00F65ADD">
      <w:pPr>
        <w:widowControl/>
        <w:numPr>
          <w:ilvl w:val="0"/>
          <w:numId w:val="13"/>
        </w:numPr>
        <w:overflowPunct/>
        <w:autoSpaceDE/>
        <w:autoSpaceDN/>
        <w:adjustRightInd/>
        <w:spacing w:before="100" w:beforeAutospacing="1" w:after="100" w:afterAutospacing="1"/>
        <w:jc w:val="left"/>
        <w:textAlignment w:val="auto"/>
        <w:rPr>
          <w:rFonts w:cs="Arial"/>
          <w:lang w:val="en-GB"/>
        </w:rPr>
      </w:pPr>
      <w:r w:rsidRPr="00E340D7">
        <w:rPr>
          <w:rFonts w:cs="Arial"/>
          <w:lang w:val="en-GB"/>
        </w:rPr>
        <w:t>Date Complaint Closed</w:t>
      </w:r>
    </w:p>
    <w:p w14:paraId="2682E3F8" w14:textId="77777777" w:rsidR="00F65ADD" w:rsidRDefault="00F65ADD" w:rsidP="00F65ADD">
      <w:r w:rsidRPr="00E340D7">
        <w:rPr>
          <w:rFonts w:cs="Arial"/>
          <w:lang w:val="en-GB"/>
        </w:rPr>
        <w:t>The log is made available to any relevant authority</w:t>
      </w:r>
      <w:r>
        <w:rPr>
          <w:rFonts w:cs="Arial"/>
          <w:lang w:val="en-GB"/>
        </w:rPr>
        <w:t xml:space="preserve"> or</w:t>
      </w:r>
      <w:r w:rsidRPr="00E340D7">
        <w:rPr>
          <w:rFonts w:cs="Arial"/>
          <w:lang w:val="en-GB"/>
        </w:rPr>
        <w:t xml:space="preserve"> ombudsman</w:t>
      </w:r>
      <w:r>
        <w:rPr>
          <w:rFonts w:cs="Arial"/>
          <w:lang w:val="en-GB"/>
        </w:rPr>
        <w:t>.</w:t>
      </w:r>
      <w:r w:rsidRPr="000C522D">
        <w:t xml:space="preserve"> </w:t>
      </w:r>
    </w:p>
    <w:p w14:paraId="6A4A08A6" w14:textId="77777777" w:rsidR="00F65ADD" w:rsidRDefault="00F65ADD" w:rsidP="00F65ADD">
      <w:pPr>
        <w:rPr>
          <w:lang w:val="en-GB"/>
        </w:rPr>
      </w:pPr>
    </w:p>
    <w:p w14:paraId="2A8FBBE2" w14:textId="77777777" w:rsidR="00F65ADD" w:rsidRPr="00F65ADD" w:rsidRDefault="00F65ADD" w:rsidP="00F65ADD">
      <w:pPr>
        <w:rPr>
          <w:lang w:val="en-GB"/>
        </w:rPr>
      </w:pPr>
    </w:p>
    <w:p w14:paraId="30CFCA29" w14:textId="77777777" w:rsidR="0051469C" w:rsidRDefault="0051469C" w:rsidP="0051469C">
      <w:pPr>
        <w:rPr>
          <w:lang w:val="en-GB"/>
        </w:rPr>
      </w:pPr>
    </w:p>
    <w:p w14:paraId="0E679015" w14:textId="77777777" w:rsidR="00F65ADD" w:rsidRDefault="00F65ADD" w:rsidP="00F65ADD">
      <w:pPr>
        <w:rPr>
          <w:rFonts w:eastAsiaTheme="majorEastAsia" w:cstheme="majorBidi"/>
          <w:b/>
          <w:color w:val="2F5496" w:themeColor="accent1" w:themeShade="BF"/>
          <w:sz w:val="22"/>
          <w:szCs w:val="32"/>
          <w:lang w:val="en-GB"/>
        </w:rPr>
      </w:pPr>
      <w:r w:rsidRPr="00F65ADD">
        <w:rPr>
          <w:rFonts w:eastAsiaTheme="majorEastAsia" w:cstheme="majorBidi"/>
          <w:b/>
          <w:color w:val="2F5496" w:themeColor="accent1" w:themeShade="BF"/>
          <w:sz w:val="22"/>
          <w:szCs w:val="32"/>
          <w:lang w:val="en-GB"/>
        </w:rPr>
        <w:t xml:space="preserve">How to Complain </w:t>
      </w:r>
    </w:p>
    <w:p w14:paraId="1460684F" w14:textId="77777777" w:rsidR="00F65ADD" w:rsidRPr="00F65ADD" w:rsidRDefault="00F65ADD" w:rsidP="00F65ADD">
      <w:pPr>
        <w:rPr>
          <w:rFonts w:cs="Arial"/>
          <w:lang w:val="en-GB"/>
        </w:rPr>
      </w:pPr>
    </w:p>
    <w:p w14:paraId="68E4C0C7" w14:textId="61D0C676" w:rsidR="00F65ADD" w:rsidRPr="00F65ADD" w:rsidRDefault="00F65ADD" w:rsidP="00F65ADD">
      <w:pPr>
        <w:rPr>
          <w:rFonts w:cs="Arial"/>
          <w:lang w:val="en-GB"/>
        </w:rPr>
      </w:pPr>
      <w:r w:rsidRPr="00F65ADD">
        <w:rPr>
          <w:rFonts w:cs="Arial"/>
          <w:lang w:val="en-GB"/>
        </w:rPr>
        <w:t>If you would like to make a complaint about any services provided by us, in the first instance, and to allow us to remedy any issues encountered, please telephone us on +</w:t>
      </w:r>
      <w:r w:rsidRPr="00F65ADD">
        <w:t xml:space="preserve"> </w:t>
      </w:r>
      <w:r w:rsidRPr="00F65ADD">
        <w:rPr>
          <w:rFonts w:cs="Arial"/>
          <w:lang w:val="en-GB"/>
        </w:rPr>
        <w:t>T +41 (0)44 206 4000</w:t>
      </w:r>
      <w:r w:rsidRPr="00F65ADD">
        <w:rPr>
          <w:rFonts w:cs="Arial"/>
          <w:lang w:val="en-GB"/>
        </w:rPr>
        <w:t xml:space="preserve"> </w:t>
      </w:r>
      <w:r w:rsidRPr="00F65ADD">
        <w:rPr>
          <w:rFonts w:cs="Arial"/>
          <w:lang w:val="en-GB"/>
        </w:rPr>
        <w:t>or email:</w:t>
      </w:r>
      <w:r>
        <w:rPr>
          <w:rFonts w:cs="Arial"/>
          <w:lang w:val="en-GB"/>
        </w:rPr>
        <w:t xml:space="preserve"> </w:t>
      </w:r>
      <w:hyperlink r:id="rId8" w:history="1">
        <w:r w:rsidRPr="004C6466">
          <w:rPr>
            <w:rStyle w:val="Hyperlink"/>
            <w:rFonts w:cs="Arial"/>
            <w:lang w:val="en-GB"/>
          </w:rPr>
          <w:t>Graham.Miller@ardonaghspecialty.co</w:t>
        </w:r>
        <w:r w:rsidRPr="004C6466">
          <w:rPr>
            <w:rStyle w:val="Hyperlink"/>
            <w:rFonts w:cs="Arial"/>
            <w:lang w:val="en-GB"/>
          </w:rPr>
          <w:t>m</w:t>
        </w:r>
      </w:hyperlink>
      <w:r>
        <w:rPr>
          <w:rFonts w:cs="Arial"/>
          <w:lang w:val="en-GB"/>
        </w:rPr>
        <w:t xml:space="preserve"> </w:t>
      </w:r>
      <w:r w:rsidRPr="00F65ADD">
        <w:rPr>
          <w:rFonts w:cs="Arial"/>
          <w:lang w:val="en-GB"/>
        </w:rPr>
        <w:t>or write to</w:t>
      </w:r>
      <w:r w:rsidRPr="00F65ADD">
        <w:t xml:space="preserve"> </w:t>
      </w:r>
      <w:r>
        <w:t xml:space="preserve">Complaints c/o Graham Miller </w:t>
      </w:r>
      <w:r w:rsidRPr="00F65ADD">
        <w:rPr>
          <w:rFonts w:cs="Arial"/>
          <w:lang w:val="en-GB"/>
        </w:rPr>
        <w:t>UNIS AG</w:t>
      </w:r>
      <w:r>
        <w:rPr>
          <w:rFonts w:cs="Arial"/>
          <w:lang w:val="en-GB"/>
        </w:rPr>
        <w:t xml:space="preserve"> </w:t>
      </w:r>
      <w:r w:rsidRPr="00F65ADD">
        <w:rPr>
          <w:rFonts w:cs="Arial"/>
          <w:lang w:val="en-GB"/>
        </w:rPr>
        <w:t>United Insurance Services</w:t>
      </w:r>
      <w:r>
        <w:rPr>
          <w:rFonts w:cs="Arial"/>
          <w:lang w:val="en-GB"/>
        </w:rPr>
        <w:t xml:space="preserve"> </w:t>
      </w:r>
      <w:proofErr w:type="spellStart"/>
      <w:r w:rsidRPr="00F65ADD">
        <w:rPr>
          <w:rFonts w:cs="Arial"/>
          <w:lang w:val="en-GB"/>
        </w:rPr>
        <w:t>Gartenstrasse</w:t>
      </w:r>
      <w:proofErr w:type="spellEnd"/>
      <w:r w:rsidRPr="00F65ADD">
        <w:rPr>
          <w:rFonts w:cs="Arial"/>
          <w:lang w:val="en-GB"/>
        </w:rPr>
        <w:t xml:space="preserve"> 38</w:t>
      </w:r>
      <w:r>
        <w:rPr>
          <w:rFonts w:cs="Arial"/>
          <w:lang w:val="en-GB"/>
        </w:rPr>
        <w:t xml:space="preserve"> </w:t>
      </w:r>
      <w:r w:rsidRPr="00F65ADD">
        <w:rPr>
          <w:rFonts w:cs="Arial"/>
          <w:lang w:val="en-GB"/>
        </w:rPr>
        <w:t>8002 Zürich</w:t>
      </w:r>
      <w:r>
        <w:rPr>
          <w:rFonts w:cs="Arial"/>
          <w:lang w:val="en-GB"/>
        </w:rPr>
        <w:t xml:space="preserve"> </w:t>
      </w:r>
      <w:r w:rsidRPr="00F65ADD">
        <w:rPr>
          <w:rFonts w:cs="Arial"/>
          <w:lang w:val="en-GB"/>
        </w:rPr>
        <w:t>Schweiz</w:t>
      </w:r>
      <w:r>
        <w:rPr>
          <w:rFonts w:cs="Arial"/>
          <w:lang w:val="en-GB"/>
        </w:rPr>
        <w:t>.</w:t>
      </w:r>
    </w:p>
    <w:p w14:paraId="3EC66084" w14:textId="2198EE74" w:rsidR="00F65ADD" w:rsidRPr="00F65ADD" w:rsidRDefault="00F65ADD" w:rsidP="00F65ADD">
      <w:pPr>
        <w:rPr>
          <w:rFonts w:eastAsiaTheme="majorEastAsia" w:cstheme="majorBidi"/>
          <w:b/>
          <w:color w:val="2F5496" w:themeColor="accent1" w:themeShade="BF"/>
          <w:sz w:val="22"/>
          <w:szCs w:val="32"/>
          <w:lang w:val="en-GB"/>
        </w:rPr>
        <w:sectPr w:rsidR="00F65ADD" w:rsidRPr="00F65ADD" w:rsidSect="00F65ADD">
          <w:pgSz w:w="11910" w:h="16840"/>
          <w:pgMar w:top="720" w:right="460" w:bottom="920" w:left="1276" w:header="233" w:footer="732" w:gutter="0"/>
          <w:cols w:space="720"/>
        </w:sectPr>
      </w:pPr>
    </w:p>
    <w:p w14:paraId="378CEAB3" w14:textId="77777777" w:rsidR="000C522D" w:rsidRDefault="000C522D" w:rsidP="000C522D">
      <w:pPr>
        <w:pStyle w:val="Heading1"/>
        <w:spacing w:before="93"/>
      </w:pPr>
      <w:bookmarkStart w:id="11" w:name="Roles_&amp;_Responsibilities"/>
      <w:bookmarkStart w:id="12" w:name="_bookmark16"/>
      <w:bookmarkEnd w:id="11"/>
      <w:bookmarkEnd w:id="12"/>
      <w:r>
        <w:rPr>
          <w:color w:val="2E5395"/>
        </w:rPr>
        <w:lastRenderedPageBreak/>
        <w:t>Roles</w:t>
      </w:r>
      <w:r>
        <w:rPr>
          <w:color w:val="2E5395"/>
          <w:spacing w:val="-5"/>
        </w:rPr>
        <w:t xml:space="preserve"> </w:t>
      </w:r>
      <w:r>
        <w:rPr>
          <w:color w:val="2E5395"/>
        </w:rPr>
        <w:t>&amp;</w:t>
      </w:r>
      <w:r>
        <w:rPr>
          <w:color w:val="2E5395"/>
          <w:spacing w:val="-5"/>
        </w:rPr>
        <w:t xml:space="preserve"> </w:t>
      </w:r>
      <w:r>
        <w:rPr>
          <w:color w:val="2E5395"/>
        </w:rPr>
        <w:t>Responsibilities</w:t>
      </w:r>
    </w:p>
    <w:p w14:paraId="3414977D" w14:textId="77777777" w:rsidR="000C522D" w:rsidRDefault="000C522D" w:rsidP="000C522D">
      <w:pPr>
        <w:pStyle w:val="BodyText"/>
        <w:spacing w:before="6"/>
        <w:rPr>
          <w:b/>
        </w:rPr>
      </w:pPr>
    </w:p>
    <w:p w14:paraId="150474AC" w14:textId="77777777" w:rsidR="000C522D" w:rsidRDefault="000C522D" w:rsidP="000C522D">
      <w:pPr>
        <w:pStyle w:val="BodyText"/>
        <w:spacing w:before="121"/>
        <w:ind w:right="982"/>
        <w:jc w:val="both"/>
      </w:pPr>
      <w:r>
        <w:t>The</w:t>
      </w:r>
      <w:r>
        <w:rPr>
          <w:spacing w:val="-7"/>
        </w:rPr>
        <w:t xml:space="preserve"> </w:t>
      </w:r>
      <w:r>
        <w:t>Board</w:t>
      </w:r>
      <w:r>
        <w:rPr>
          <w:spacing w:val="-4"/>
        </w:rPr>
        <w:t xml:space="preserve"> </w:t>
      </w:r>
      <w:r>
        <w:t>is</w:t>
      </w:r>
      <w:r>
        <w:rPr>
          <w:spacing w:val="-5"/>
        </w:rPr>
        <w:t xml:space="preserve"> </w:t>
      </w:r>
      <w:r>
        <w:t>responsible</w:t>
      </w:r>
      <w:r>
        <w:rPr>
          <w:spacing w:val="-6"/>
        </w:rPr>
        <w:t xml:space="preserve"> </w:t>
      </w:r>
      <w:r>
        <w:t>for</w:t>
      </w:r>
      <w:r>
        <w:rPr>
          <w:spacing w:val="-5"/>
        </w:rPr>
        <w:t xml:space="preserve"> </w:t>
      </w:r>
      <w:r>
        <w:t>the</w:t>
      </w:r>
      <w:r>
        <w:rPr>
          <w:spacing w:val="-7"/>
        </w:rPr>
        <w:t xml:space="preserve"> </w:t>
      </w:r>
      <w:r>
        <w:t>overall</w:t>
      </w:r>
      <w:r>
        <w:rPr>
          <w:spacing w:val="-7"/>
        </w:rPr>
        <w:t xml:space="preserve"> </w:t>
      </w:r>
      <w:r>
        <w:t>implementation</w:t>
      </w:r>
      <w:r>
        <w:rPr>
          <w:spacing w:val="-3"/>
        </w:rPr>
        <w:t xml:space="preserve"> </w:t>
      </w:r>
      <w:r>
        <w:t>of</w:t>
      </w:r>
      <w:r>
        <w:rPr>
          <w:spacing w:val="-4"/>
        </w:rPr>
        <w:t xml:space="preserve"> </w:t>
      </w:r>
      <w:r>
        <w:t>this</w:t>
      </w:r>
      <w:r>
        <w:rPr>
          <w:spacing w:val="-5"/>
        </w:rPr>
        <w:t xml:space="preserve"> </w:t>
      </w:r>
      <w:r>
        <w:t>policy</w:t>
      </w:r>
      <w:r>
        <w:rPr>
          <w:spacing w:val="-10"/>
        </w:rPr>
        <w:t xml:space="preserve"> </w:t>
      </w:r>
      <w:r>
        <w:t>and</w:t>
      </w:r>
      <w:r>
        <w:rPr>
          <w:spacing w:val="-3"/>
        </w:rPr>
        <w:t xml:space="preserve"> </w:t>
      </w:r>
      <w:r>
        <w:t>its</w:t>
      </w:r>
      <w:r>
        <w:rPr>
          <w:spacing w:val="-5"/>
        </w:rPr>
        <w:t xml:space="preserve"> </w:t>
      </w:r>
      <w:r>
        <w:t>effectiveness</w:t>
      </w:r>
      <w:r>
        <w:rPr>
          <w:spacing w:val="-5"/>
        </w:rPr>
        <w:t xml:space="preserve"> </w:t>
      </w:r>
      <w:r>
        <w:t>in</w:t>
      </w:r>
      <w:r>
        <w:rPr>
          <w:spacing w:val="-7"/>
        </w:rPr>
        <w:t xml:space="preserve"> </w:t>
      </w:r>
      <w:r>
        <w:t>managing</w:t>
      </w:r>
      <w:r>
        <w:rPr>
          <w:spacing w:val="-53"/>
        </w:rPr>
        <w:t xml:space="preserve"> </w:t>
      </w:r>
      <w:r>
        <w:t>conflicts</w:t>
      </w:r>
      <w:r>
        <w:rPr>
          <w:spacing w:val="-1"/>
        </w:rPr>
        <w:t xml:space="preserve"> </w:t>
      </w:r>
      <w:r>
        <w:t>of</w:t>
      </w:r>
      <w:r>
        <w:rPr>
          <w:spacing w:val="1"/>
        </w:rPr>
        <w:t xml:space="preserve"> </w:t>
      </w:r>
      <w:r>
        <w:t>interest.</w:t>
      </w:r>
    </w:p>
    <w:p w14:paraId="66FCB14A" w14:textId="470F0FFC" w:rsidR="000C522D" w:rsidRDefault="000C522D" w:rsidP="000C522D">
      <w:pPr>
        <w:pStyle w:val="BodyText"/>
        <w:spacing w:before="11"/>
        <w:rPr>
          <w:sz w:val="19"/>
        </w:rPr>
      </w:pP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507"/>
        <w:gridCol w:w="4509"/>
      </w:tblGrid>
      <w:tr w:rsidR="000C522D" w14:paraId="394D555A" w14:textId="77777777" w:rsidTr="000C522D">
        <w:trPr>
          <w:trHeight w:val="229"/>
        </w:trPr>
        <w:tc>
          <w:tcPr>
            <w:tcW w:w="4507" w:type="dxa"/>
            <w:tcBorders>
              <w:bottom w:val="single" w:sz="12" w:space="0" w:color="666666"/>
            </w:tcBorders>
          </w:tcPr>
          <w:p w14:paraId="1A92AD8D" w14:textId="77777777" w:rsidR="000C522D" w:rsidRDefault="000C522D" w:rsidP="009501D1">
            <w:pPr>
              <w:pStyle w:val="TableParagraph"/>
              <w:rPr>
                <w:b/>
                <w:sz w:val="20"/>
              </w:rPr>
            </w:pPr>
            <w:r>
              <w:rPr>
                <w:b/>
                <w:sz w:val="20"/>
              </w:rPr>
              <w:t>Role</w:t>
            </w:r>
          </w:p>
        </w:tc>
        <w:tc>
          <w:tcPr>
            <w:tcW w:w="4509" w:type="dxa"/>
            <w:tcBorders>
              <w:bottom w:val="single" w:sz="12" w:space="0" w:color="666666"/>
            </w:tcBorders>
          </w:tcPr>
          <w:p w14:paraId="0818C514" w14:textId="77777777" w:rsidR="000C522D" w:rsidRDefault="000C522D" w:rsidP="009501D1">
            <w:pPr>
              <w:pStyle w:val="TableParagraph"/>
              <w:rPr>
                <w:b/>
                <w:sz w:val="20"/>
              </w:rPr>
            </w:pPr>
            <w:r>
              <w:rPr>
                <w:b/>
                <w:sz w:val="20"/>
              </w:rPr>
              <w:t>Responsibility</w:t>
            </w:r>
          </w:p>
        </w:tc>
      </w:tr>
      <w:tr w:rsidR="000C522D" w14:paraId="16439DF7" w14:textId="77777777" w:rsidTr="000C522D">
        <w:trPr>
          <w:trHeight w:val="459"/>
        </w:trPr>
        <w:tc>
          <w:tcPr>
            <w:tcW w:w="4507" w:type="dxa"/>
            <w:tcBorders>
              <w:top w:val="single" w:sz="12" w:space="0" w:color="666666"/>
            </w:tcBorders>
          </w:tcPr>
          <w:p w14:paraId="66D0234D" w14:textId="77777777" w:rsidR="000C522D" w:rsidRDefault="000C522D" w:rsidP="009501D1">
            <w:pPr>
              <w:pStyle w:val="TableParagraph"/>
              <w:spacing w:before="1" w:line="240" w:lineRule="auto"/>
              <w:rPr>
                <w:sz w:val="20"/>
              </w:rPr>
            </w:pPr>
            <w:r>
              <w:rPr>
                <w:sz w:val="20"/>
              </w:rPr>
              <w:t>Managing Director</w:t>
            </w:r>
          </w:p>
        </w:tc>
        <w:tc>
          <w:tcPr>
            <w:tcW w:w="4509" w:type="dxa"/>
            <w:tcBorders>
              <w:top w:val="single" w:sz="12" w:space="0" w:color="666666"/>
            </w:tcBorders>
          </w:tcPr>
          <w:p w14:paraId="59E7375C" w14:textId="77777777" w:rsidR="000C522D" w:rsidRDefault="000C522D" w:rsidP="009501D1">
            <w:pPr>
              <w:pStyle w:val="TableParagraph"/>
              <w:spacing w:line="228" w:lineRule="exact"/>
              <w:ind w:right="800"/>
              <w:rPr>
                <w:sz w:val="20"/>
              </w:rPr>
            </w:pPr>
            <w:r>
              <w:rPr>
                <w:sz w:val="20"/>
              </w:rPr>
              <w:t>Operational</w:t>
            </w:r>
            <w:r>
              <w:rPr>
                <w:spacing w:val="-2"/>
                <w:sz w:val="20"/>
              </w:rPr>
              <w:t xml:space="preserve"> </w:t>
            </w:r>
            <w:r>
              <w:rPr>
                <w:sz w:val="20"/>
              </w:rPr>
              <w:t>performance</w:t>
            </w:r>
            <w:r>
              <w:rPr>
                <w:spacing w:val="-3"/>
                <w:sz w:val="20"/>
              </w:rPr>
              <w:t xml:space="preserve"> </w:t>
            </w:r>
            <w:r>
              <w:rPr>
                <w:sz w:val="20"/>
              </w:rPr>
              <w:t>of</w:t>
            </w:r>
            <w:r>
              <w:rPr>
                <w:spacing w:val="-3"/>
                <w:sz w:val="20"/>
              </w:rPr>
              <w:t xml:space="preserve"> </w:t>
            </w:r>
            <w:r>
              <w:rPr>
                <w:sz w:val="20"/>
              </w:rPr>
              <w:t>the Policy.</w:t>
            </w:r>
          </w:p>
        </w:tc>
      </w:tr>
    </w:tbl>
    <w:p w14:paraId="27E5163B" w14:textId="77777777" w:rsidR="000C522D" w:rsidRDefault="000C522D" w:rsidP="000C522D">
      <w:pPr>
        <w:pStyle w:val="BodyText"/>
        <w:spacing w:before="11"/>
        <w:rPr>
          <w:sz w:val="19"/>
        </w:rPr>
      </w:pPr>
    </w:p>
    <w:p w14:paraId="1D1FE9A1" w14:textId="072A56AD" w:rsidR="0051469C" w:rsidRPr="00E340D7" w:rsidRDefault="0051469C" w:rsidP="00E340D7">
      <w:pPr>
        <w:widowControl/>
        <w:overflowPunct/>
        <w:autoSpaceDE/>
        <w:autoSpaceDN/>
        <w:adjustRightInd/>
        <w:spacing w:before="210" w:after="210"/>
        <w:textAlignment w:val="auto"/>
        <w:rPr>
          <w:rFonts w:cs="Arial"/>
          <w:lang w:val="en-GB"/>
        </w:rPr>
      </w:pPr>
    </w:p>
    <w:sectPr w:rsidR="0051469C" w:rsidRPr="00E340D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9F7B" w14:textId="77777777" w:rsidR="00197458" w:rsidRDefault="00197458" w:rsidP="005B2200">
      <w:r>
        <w:separator/>
      </w:r>
    </w:p>
  </w:endnote>
  <w:endnote w:type="continuationSeparator" w:id="0">
    <w:p w14:paraId="2E017689" w14:textId="77777777" w:rsidR="00197458" w:rsidRDefault="00197458" w:rsidP="005B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807457"/>
      <w:docPartObj>
        <w:docPartGallery w:val="Page Numbers (Bottom of Page)"/>
        <w:docPartUnique/>
      </w:docPartObj>
    </w:sdtPr>
    <w:sdtEndPr>
      <w:rPr>
        <w:rFonts w:ascii="Arial" w:hAnsi="Arial" w:cs="Arial"/>
        <w:noProof/>
        <w:sz w:val="20"/>
      </w:rPr>
    </w:sdtEndPr>
    <w:sdtContent>
      <w:p w14:paraId="447123C5" w14:textId="77777777" w:rsidR="005B2200" w:rsidRPr="00961EBE" w:rsidRDefault="00B74BEE" w:rsidP="00961EBE">
        <w:pPr>
          <w:pStyle w:val="Footer"/>
          <w:jc w:val="center"/>
          <w:rPr>
            <w:rFonts w:ascii="Arial" w:hAnsi="Arial" w:cs="Arial"/>
            <w:sz w:val="20"/>
          </w:rPr>
        </w:pPr>
        <w:r w:rsidRPr="00DE157F">
          <w:rPr>
            <w:rFonts w:ascii="Arial" w:hAnsi="Arial" w:cs="Arial"/>
            <w:sz w:val="20"/>
          </w:rPr>
          <w:fldChar w:fldCharType="begin"/>
        </w:r>
        <w:r w:rsidRPr="00DE157F">
          <w:rPr>
            <w:rFonts w:ascii="Arial" w:hAnsi="Arial" w:cs="Arial"/>
            <w:sz w:val="20"/>
          </w:rPr>
          <w:instrText xml:space="preserve"> PAGE   \* MERGEFORMAT </w:instrText>
        </w:r>
        <w:r w:rsidRPr="00DE157F">
          <w:rPr>
            <w:rFonts w:ascii="Arial" w:hAnsi="Arial" w:cs="Arial"/>
            <w:sz w:val="20"/>
          </w:rPr>
          <w:fldChar w:fldCharType="separate"/>
        </w:r>
        <w:r w:rsidRPr="00DE157F">
          <w:rPr>
            <w:rFonts w:ascii="Arial" w:hAnsi="Arial" w:cs="Arial"/>
            <w:noProof/>
            <w:sz w:val="20"/>
          </w:rPr>
          <w:t>2</w:t>
        </w:r>
        <w:r w:rsidRPr="00DE157F">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AE99" w14:textId="77777777" w:rsidR="00197458" w:rsidRDefault="00197458" w:rsidP="005B2200">
      <w:r>
        <w:separator/>
      </w:r>
    </w:p>
  </w:footnote>
  <w:footnote w:type="continuationSeparator" w:id="0">
    <w:p w14:paraId="28395F0B" w14:textId="77777777" w:rsidR="00197458" w:rsidRDefault="00197458" w:rsidP="005B2200">
      <w:r>
        <w:continuationSeparator/>
      </w:r>
    </w:p>
  </w:footnote>
  <w:footnote w:id="1">
    <w:p w14:paraId="1FF64939" w14:textId="77777777" w:rsidR="00E340D7" w:rsidRPr="00E340D7" w:rsidRDefault="00E340D7">
      <w:pPr>
        <w:pStyle w:val="FootnoteText"/>
        <w:rPr>
          <w:lang w:val="en-GB"/>
        </w:rPr>
      </w:pPr>
      <w:r>
        <w:rPr>
          <w:rStyle w:val="FootnoteReference"/>
        </w:rPr>
        <w:footnoteRef/>
      </w:r>
      <w:r>
        <w:t xml:space="preserve"> </w:t>
      </w:r>
      <w:hyperlink r:id="rId1" w:history="1">
        <w:r w:rsidRPr="00F734D1">
          <w:rPr>
            <w:rStyle w:val="Hyperlink"/>
          </w:rPr>
          <w:t>https://www.lloyds.com/market-resources/complaints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354C" w14:textId="4D711A8E" w:rsidR="005B2200" w:rsidRDefault="003C589A" w:rsidP="003C589A">
    <w:pPr>
      <w:pStyle w:val="Header"/>
      <w:jc w:val="left"/>
    </w:pPr>
    <w:r w:rsidRPr="000874E9">
      <w:rPr>
        <w:rFonts w:ascii="Tahoma" w:hAnsi="Tahoma" w:cs="Tahoma"/>
        <w:noProof/>
        <w:sz w:val="20"/>
        <w:szCs w:val="20"/>
      </w:rPr>
      <w:drawing>
        <wp:inline distT="0" distB="0" distL="0" distR="0" wp14:anchorId="0714941A" wp14:editId="3B826D1B">
          <wp:extent cx="1188085" cy="269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269240"/>
                  </a:xfrm>
                  <a:prstGeom prst="rect">
                    <a:avLst/>
                  </a:prstGeom>
                  <a:noFill/>
                  <a:ln>
                    <a:noFill/>
                  </a:ln>
                </pic:spPr>
              </pic:pic>
            </a:graphicData>
          </a:graphic>
        </wp:inline>
      </w:drawing>
    </w:r>
    <w:r w:rsidR="009248D2">
      <w:rPr>
        <w:rFonts w:ascii="Arial" w:hAnsi="Arial" w:cs="Arial"/>
        <w:noProof/>
        <w:color w:val="FFFFFF"/>
        <w:sz w:val="20"/>
        <w:szCs w:val="20"/>
        <w:lang w:val="en"/>
      </w:rPr>
      <w:t xml:space="preserve"> </w:t>
    </w:r>
  </w:p>
  <w:p w14:paraId="568A7262" w14:textId="77777777" w:rsidR="005B2200" w:rsidRDefault="005B2200" w:rsidP="005B22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0077"/>
    <w:multiLevelType w:val="hybridMultilevel"/>
    <w:tmpl w:val="02B0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F153B"/>
    <w:multiLevelType w:val="hybridMultilevel"/>
    <w:tmpl w:val="4AEE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F4D60"/>
    <w:multiLevelType w:val="hybridMultilevel"/>
    <w:tmpl w:val="4B70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146F2"/>
    <w:multiLevelType w:val="hybridMultilevel"/>
    <w:tmpl w:val="D03E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C0394"/>
    <w:multiLevelType w:val="hybridMultilevel"/>
    <w:tmpl w:val="9ED6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625A6"/>
    <w:multiLevelType w:val="hybridMultilevel"/>
    <w:tmpl w:val="350E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950DF"/>
    <w:multiLevelType w:val="hybridMultilevel"/>
    <w:tmpl w:val="92B6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D43EA"/>
    <w:multiLevelType w:val="hybridMultilevel"/>
    <w:tmpl w:val="69A8C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454FC"/>
    <w:multiLevelType w:val="hybridMultilevel"/>
    <w:tmpl w:val="FE82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A4283"/>
    <w:multiLevelType w:val="hybridMultilevel"/>
    <w:tmpl w:val="BBD2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533B1"/>
    <w:multiLevelType w:val="multilevel"/>
    <w:tmpl w:val="8D3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9028F"/>
    <w:multiLevelType w:val="hybridMultilevel"/>
    <w:tmpl w:val="C2F4BB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325171C"/>
    <w:multiLevelType w:val="hybridMultilevel"/>
    <w:tmpl w:val="70E6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671108">
    <w:abstractNumId w:val="8"/>
  </w:num>
  <w:num w:numId="2" w16cid:durableId="1641417666">
    <w:abstractNumId w:val="7"/>
  </w:num>
  <w:num w:numId="3" w16cid:durableId="690761524">
    <w:abstractNumId w:val="4"/>
  </w:num>
  <w:num w:numId="4" w16cid:durableId="69234284">
    <w:abstractNumId w:val="3"/>
  </w:num>
  <w:num w:numId="5" w16cid:durableId="356319425">
    <w:abstractNumId w:val="2"/>
  </w:num>
  <w:num w:numId="6" w16cid:durableId="318926092">
    <w:abstractNumId w:val="12"/>
  </w:num>
  <w:num w:numId="7" w16cid:durableId="1721634802">
    <w:abstractNumId w:val="6"/>
  </w:num>
  <w:num w:numId="8" w16cid:durableId="955528455">
    <w:abstractNumId w:val="11"/>
  </w:num>
  <w:num w:numId="9" w16cid:durableId="318966469">
    <w:abstractNumId w:val="9"/>
  </w:num>
  <w:num w:numId="10" w16cid:durableId="1095900123">
    <w:abstractNumId w:val="0"/>
  </w:num>
  <w:num w:numId="11" w16cid:durableId="436101497">
    <w:abstractNumId w:val="1"/>
  </w:num>
  <w:num w:numId="12" w16cid:durableId="1669360631">
    <w:abstractNumId w:val="5"/>
  </w:num>
  <w:num w:numId="13" w16cid:durableId="1255473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00"/>
    <w:rsid w:val="00000FBA"/>
    <w:rsid w:val="00010E61"/>
    <w:rsid w:val="000117AF"/>
    <w:rsid w:val="000117D5"/>
    <w:rsid w:val="00014DDF"/>
    <w:rsid w:val="000213A6"/>
    <w:rsid w:val="00021936"/>
    <w:rsid w:val="00022411"/>
    <w:rsid w:val="00023C6F"/>
    <w:rsid w:val="0002535A"/>
    <w:rsid w:val="000254BF"/>
    <w:rsid w:val="000279B7"/>
    <w:rsid w:val="00032E71"/>
    <w:rsid w:val="0003363C"/>
    <w:rsid w:val="0004413A"/>
    <w:rsid w:val="000446AA"/>
    <w:rsid w:val="00045686"/>
    <w:rsid w:val="00045BD1"/>
    <w:rsid w:val="00052739"/>
    <w:rsid w:val="00054765"/>
    <w:rsid w:val="00054B65"/>
    <w:rsid w:val="0006360B"/>
    <w:rsid w:val="00067D73"/>
    <w:rsid w:val="00067DC9"/>
    <w:rsid w:val="00067FC6"/>
    <w:rsid w:val="00072BE2"/>
    <w:rsid w:val="000739EC"/>
    <w:rsid w:val="00073AF1"/>
    <w:rsid w:val="00080958"/>
    <w:rsid w:val="000823C0"/>
    <w:rsid w:val="00084018"/>
    <w:rsid w:val="00085D2A"/>
    <w:rsid w:val="000861B2"/>
    <w:rsid w:val="00093DBD"/>
    <w:rsid w:val="00096527"/>
    <w:rsid w:val="000976D8"/>
    <w:rsid w:val="000A08E2"/>
    <w:rsid w:val="000A12E3"/>
    <w:rsid w:val="000A2423"/>
    <w:rsid w:val="000A2B14"/>
    <w:rsid w:val="000A5BC5"/>
    <w:rsid w:val="000A7D23"/>
    <w:rsid w:val="000B05D4"/>
    <w:rsid w:val="000C0BCC"/>
    <w:rsid w:val="000C369F"/>
    <w:rsid w:val="000C3FA3"/>
    <w:rsid w:val="000C3FFA"/>
    <w:rsid w:val="000C522D"/>
    <w:rsid w:val="000C7120"/>
    <w:rsid w:val="000D1417"/>
    <w:rsid w:val="000D1B20"/>
    <w:rsid w:val="000D215F"/>
    <w:rsid w:val="000E0386"/>
    <w:rsid w:val="000E05E0"/>
    <w:rsid w:val="000E0D2E"/>
    <w:rsid w:val="000E2CF3"/>
    <w:rsid w:val="000E3243"/>
    <w:rsid w:val="000E4CCB"/>
    <w:rsid w:val="000E6E63"/>
    <w:rsid w:val="000F0749"/>
    <w:rsid w:val="000F1E3B"/>
    <w:rsid w:val="000F46EE"/>
    <w:rsid w:val="000F4A64"/>
    <w:rsid w:val="000F5668"/>
    <w:rsid w:val="000F7AB9"/>
    <w:rsid w:val="00103DA1"/>
    <w:rsid w:val="00104919"/>
    <w:rsid w:val="001058BC"/>
    <w:rsid w:val="00116245"/>
    <w:rsid w:val="00120527"/>
    <w:rsid w:val="001219C5"/>
    <w:rsid w:val="00125BC1"/>
    <w:rsid w:val="00125D47"/>
    <w:rsid w:val="00127449"/>
    <w:rsid w:val="001371D3"/>
    <w:rsid w:val="00146D63"/>
    <w:rsid w:val="00150CB3"/>
    <w:rsid w:val="001533CF"/>
    <w:rsid w:val="001621EC"/>
    <w:rsid w:val="0016458D"/>
    <w:rsid w:val="0017322B"/>
    <w:rsid w:val="001742F0"/>
    <w:rsid w:val="00175B79"/>
    <w:rsid w:val="00175EAF"/>
    <w:rsid w:val="00176D39"/>
    <w:rsid w:val="0017771E"/>
    <w:rsid w:val="00180B03"/>
    <w:rsid w:val="00185680"/>
    <w:rsid w:val="00194103"/>
    <w:rsid w:val="00197458"/>
    <w:rsid w:val="001B1C8E"/>
    <w:rsid w:val="001B3ED3"/>
    <w:rsid w:val="001B4DCA"/>
    <w:rsid w:val="001B70CB"/>
    <w:rsid w:val="001B7ACB"/>
    <w:rsid w:val="001C099B"/>
    <w:rsid w:val="001E1525"/>
    <w:rsid w:val="001E277A"/>
    <w:rsid w:val="001E27BB"/>
    <w:rsid w:val="001E5B11"/>
    <w:rsid w:val="001F0D38"/>
    <w:rsid w:val="001F460A"/>
    <w:rsid w:val="001F5B2D"/>
    <w:rsid w:val="001F5C01"/>
    <w:rsid w:val="00201C26"/>
    <w:rsid w:val="002036D8"/>
    <w:rsid w:val="00204B71"/>
    <w:rsid w:val="00207193"/>
    <w:rsid w:val="00215F15"/>
    <w:rsid w:val="002160C8"/>
    <w:rsid w:val="0021686F"/>
    <w:rsid w:val="002200FA"/>
    <w:rsid w:val="00220E92"/>
    <w:rsid w:val="00224D42"/>
    <w:rsid w:val="00225CF6"/>
    <w:rsid w:val="002273A7"/>
    <w:rsid w:val="0023246D"/>
    <w:rsid w:val="0023407D"/>
    <w:rsid w:val="00235CDE"/>
    <w:rsid w:val="0023773F"/>
    <w:rsid w:val="00237BBB"/>
    <w:rsid w:val="0024357E"/>
    <w:rsid w:val="00243951"/>
    <w:rsid w:val="002503B8"/>
    <w:rsid w:val="002514CC"/>
    <w:rsid w:val="00266200"/>
    <w:rsid w:val="00270C5B"/>
    <w:rsid w:val="00272EBC"/>
    <w:rsid w:val="00273946"/>
    <w:rsid w:val="0027570B"/>
    <w:rsid w:val="00275DB1"/>
    <w:rsid w:val="00281842"/>
    <w:rsid w:val="002823D1"/>
    <w:rsid w:val="00284981"/>
    <w:rsid w:val="0028653F"/>
    <w:rsid w:val="0028660D"/>
    <w:rsid w:val="002914CA"/>
    <w:rsid w:val="002947CD"/>
    <w:rsid w:val="002A15A7"/>
    <w:rsid w:val="002A7C24"/>
    <w:rsid w:val="002B130E"/>
    <w:rsid w:val="002B3288"/>
    <w:rsid w:val="002B3CAB"/>
    <w:rsid w:val="002C149A"/>
    <w:rsid w:val="002C1998"/>
    <w:rsid w:val="002C35F9"/>
    <w:rsid w:val="002C611D"/>
    <w:rsid w:val="002C74F4"/>
    <w:rsid w:val="002D1562"/>
    <w:rsid w:val="002D45EE"/>
    <w:rsid w:val="002E2416"/>
    <w:rsid w:val="002E4A9E"/>
    <w:rsid w:val="002E6DC0"/>
    <w:rsid w:val="002E7146"/>
    <w:rsid w:val="002F4252"/>
    <w:rsid w:val="002F52EE"/>
    <w:rsid w:val="002F68E5"/>
    <w:rsid w:val="003009CB"/>
    <w:rsid w:val="00300F82"/>
    <w:rsid w:val="00304928"/>
    <w:rsid w:val="00310B8C"/>
    <w:rsid w:val="003159B0"/>
    <w:rsid w:val="00315C18"/>
    <w:rsid w:val="003274B4"/>
    <w:rsid w:val="00327F12"/>
    <w:rsid w:val="0033241B"/>
    <w:rsid w:val="00334678"/>
    <w:rsid w:val="00336F44"/>
    <w:rsid w:val="003372E6"/>
    <w:rsid w:val="00345390"/>
    <w:rsid w:val="00345BA7"/>
    <w:rsid w:val="003528EA"/>
    <w:rsid w:val="00356C6B"/>
    <w:rsid w:val="0035791A"/>
    <w:rsid w:val="003607AC"/>
    <w:rsid w:val="0036093F"/>
    <w:rsid w:val="00360C3F"/>
    <w:rsid w:val="003757DB"/>
    <w:rsid w:val="003854BA"/>
    <w:rsid w:val="0038660F"/>
    <w:rsid w:val="00391ED3"/>
    <w:rsid w:val="003944AE"/>
    <w:rsid w:val="003965C6"/>
    <w:rsid w:val="003967F5"/>
    <w:rsid w:val="0039775B"/>
    <w:rsid w:val="003A2AE0"/>
    <w:rsid w:val="003A2E6E"/>
    <w:rsid w:val="003A314D"/>
    <w:rsid w:val="003A38C3"/>
    <w:rsid w:val="003A5FA8"/>
    <w:rsid w:val="003A7735"/>
    <w:rsid w:val="003B2289"/>
    <w:rsid w:val="003B435D"/>
    <w:rsid w:val="003B599F"/>
    <w:rsid w:val="003C589A"/>
    <w:rsid w:val="003D36E8"/>
    <w:rsid w:val="003D372A"/>
    <w:rsid w:val="003D6602"/>
    <w:rsid w:val="003D6D25"/>
    <w:rsid w:val="003D6F9A"/>
    <w:rsid w:val="003D7141"/>
    <w:rsid w:val="003E2387"/>
    <w:rsid w:val="003E2EF2"/>
    <w:rsid w:val="003F675E"/>
    <w:rsid w:val="00404042"/>
    <w:rsid w:val="00407A04"/>
    <w:rsid w:val="004127C3"/>
    <w:rsid w:val="00417615"/>
    <w:rsid w:val="004246C5"/>
    <w:rsid w:val="00427A19"/>
    <w:rsid w:val="00434F40"/>
    <w:rsid w:val="00435D1A"/>
    <w:rsid w:val="00435D90"/>
    <w:rsid w:val="00442AF4"/>
    <w:rsid w:val="0044561B"/>
    <w:rsid w:val="004522ED"/>
    <w:rsid w:val="004526FE"/>
    <w:rsid w:val="004575BF"/>
    <w:rsid w:val="00465E6D"/>
    <w:rsid w:val="00467B10"/>
    <w:rsid w:val="00471B22"/>
    <w:rsid w:val="00474899"/>
    <w:rsid w:val="0048110C"/>
    <w:rsid w:val="0049113A"/>
    <w:rsid w:val="004A0515"/>
    <w:rsid w:val="004A17D1"/>
    <w:rsid w:val="004A2E07"/>
    <w:rsid w:val="004B4D37"/>
    <w:rsid w:val="004C3FE3"/>
    <w:rsid w:val="004C5027"/>
    <w:rsid w:val="004C6C2B"/>
    <w:rsid w:val="004D2B22"/>
    <w:rsid w:val="004D4537"/>
    <w:rsid w:val="004D5017"/>
    <w:rsid w:val="004D6A64"/>
    <w:rsid w:val="004E2A72"/>
    <w:rsid w:val="004E38BF"/>
    <w:rsid w:val="004E5B4E"/>
    <w:rsid w:val="004E5E80"/>
    <w:rsid w:val="004E7031"/>
    <w:rsid w:val="004F3BA9"/>
    <w:rsid w:val="004F4B2F"/>
    <w:rsid w:val="004F61E2"/>
    <w:rsid w:val="004F6237"/>
    <w:rsid w:val="00503302"/>
    <w:rsid w:val="0050413E"/>
    <w:rsid w:val="005068A8"/>
    <w:rsid w:val="005135EE"/>
    <w:rsid w:val="0051469C"/>
    <w:rsid w:val="005202C5"/>
    <w:rsid w:val="00523D19"/>
    <w:rsid w:val="005265B3"/>
    <w:rsid w:val="00532300"/>
    <w:rsid w:val="00535A36"/>
    <w:rsid w:val="00540921"/>
    <w:rsid w:val="00544CB1"/>
    <w:rsid w:val="00546027"/>
    <w:rsid w:val="0054656B"/>
    <w:rsid w:val="00546DA6"/>
    <w:rsid w:val="00550C08"/>
    <w:rsid w:val="00556896"/>
    <w:rsid w:val="00561E39"/>
    <w:rsid w:val="00564CCC"/>
    <w:rsid w:val="00566BB5"/>
    <w:rsid w:val="00570E31"/>
    <w:rsid w:val="0057118A"/>
    <w:rsid w:val="00573D00"/>
    <w:rsid w:val="005755A3"/>
    <w:rsid w:val="00575626"/>
    <w:rsid w:val="005802EA"/>
    <w:rsid w:val="00581644"/>
    <w:rsid w:val="00584C4A"/>
    <w:rsid w:val="0059602F"/>
    <w:rsid w:val="005960CD"/>
    <w:rsid w:val="005A059C"/>
    <w:rsid w:val="005A6F69"/>
    <w:rsid w:val="005B0E85"/>
    <w:rsid w:val="005B2200"/>
    <w:rsid w:val="005B4DAB"/>
    <w:rsid w:val="005B676A"/>
    <w:rsid w:val="005B6F38"/>
    <w:rsid w:val="005D0765"/>
    <w:rsid w:val="005D27CD"/>
    <w:rsid w:val="005D2ECE"/>
    <w:rsid w:val="005D3721"/>
    <w:rsid w:val="005D474A"/>
    <w:rsid w:val="005D715A"/>
    <w:rsid w:val="005D78CC"/>
    <w:rsid w:val="005E03AA"/>
    <w:rsid w:val="005E0627"/>
    <w:rsid w:val="005E151C"/>
    <w:rsid w:val="005E7DA7"/>
    <w:rsid w:val="005F0190"/>
    <w:rsid w:val="005F223B"/>
    <w:rsid w:val="005F5186"/>
    <w:rsid w:val="0060018F"/>
    <w:rsid w:val="00602471"/>
    <w:rsid w:val="00602C41"/>
    <w:rsid w:val="00606222"/>
    <w:rsid w:val="00613662"/>
    <w:rsid w:val="00617F7E"/>
    <w:rsid w:val="0062094A"/>
    <w:rsid w:val="00620C5D"/>
    <w:rsid w:val="00622E4B"/>
    <w:rsid w:val="0062325D"/>
    <w:rsid w:val="00624E83"/>
    <w:rsid w:val="0063290A"/>
    <w:rsid w:val="0063343E"/>
    <w:rsid w:val="006375E9"/>
    <w:rsid w:val="00641164"/>
    <w:rsid w:val="006437AE"/>
    <w:rsid w:val="0064532D"/>
    <w:rsid w:val="00646CC3"/>
    <w:rsid w:val="0064733F"/>
    <w:rsid w:val="006476FF"/>
    <w:rsid w:val="00653E80"/>
    <w:rsid w:val="00657DE2"/>
    <w:rsid w:val="00660307"/>
    <w:rsid w:val="00667431"/>
    <w:rsid w:val="00671F38"/>
    <w:rsid w:val="00672F7F"/>
    <w:rsid w:val="006740E8"/>
    <w:rsid w:val="0067582C"/>
    <w:rsid w:val="00675D4A"/>
    <w:rsid w:val="00677618"/>
    <w:rsid w:val="00680277"/>
    <w:rsid w:val="00683850"/>
    <w:rsid w:val="00685F61"/>
    <w:rsid w:val="00686514"/>
    <w:rsid w:val="006931F7"/>
    <w:rsid w:val="006A0636"/>
    <w:rsid w:val="006A17C2"/>
    <w:rsid w:val="006A23AB"/>
    <w:rsid w:val="006A387A"/>
    <w:rsid w:val="006A4544"/>
    <w:rsid w:val="006A7B80"/>
    <w:rsid w:val="006B5CC3"/>
    <w:rsid w:val="006C09FE"/>
    <w:rsid w:val="006C4B0E"/>
    <w:rsid w:val="006D01F4"/>
    <w:rsid w:val="006D41C8"/>
    <w:rsid w:val="006D436D"/>
    <w:rsid w:val="006D6A4C"/>
    <w:rsid w:val="006E1F24"/>
    <w:rsid w:val="006E617A"/>
    <w:rsid w:val="006E6CCF"/>
    <w:rsid w:val="006F1A7B"/>
    <w:rsid w:val="006F73FB"/>
    <w:rsid w:val="00702A3A"/>
    <w:rsid w:val="007035A7"/>
    <w:rsid w:val="0070392F"/>
    <w:rsid w:val="00710BFB"/>
    <w:rsid w:val="00711B01"/>
    <w:rsid w:val="00717264"/>
    <w:rsid w:val="00723216"/>
    <w:rsid w:val="00734158"/>
    <w:rsid w:val="007363BA"/>
    <w:rsid w:val="00740700"/>
    <w:rsid w:val="00740856"/>
    <w:rsid w:val="00741F65"/>
    <w:rsid w:val="00744BEC"/>
    <w:rsid w:val="007503FC"/>
    <w:rsid w:val="007630BD"/>
    <w:rsid w:val="007660C7"/>
    <w:rsid w:val="0076711A"/>
    <w:rsid w:val="007920A9"/>
    <w:rsid w:val="007944BE"/>
    <w:rsid w:val="00797660"/>
    <w:rsid w:val="007A0061"/>
    <w:rsid w:val="007A117F"/>
    <w:rsid w:val="007A3E60"/>
    <w:rsid w:val="007A4906"/>
    <w:rsid w:val="007B3104"/>
    <w:rsid w:val="007B379B"/>
    <w:rsid w:val="007B3965"/>
    <w:rsid w:val="007B64D0"/>
    <w:rsid w:val="007C5287"/>
    <w:rsid w:val="007C7179"/>
    <w:rsid w:val="007D3BDD"/>
    <w:rsid w:val="007D5A43"/>
    <w:rsid w:val="007E0549"/>
    <w:rsid w:val="007E1F02"/>
    <w:rsid w:val="007E45AA"/>
    <w:rsid w:val="007F0691"/>
    <w:rsid w:val="007F0CAC"/>
    <w:rsid w:val="007F1618"/>
    <w:rsid w:val="007F3D0A"/>
    <w:rsid w:val="007F43C5"/>
    <w:rsid w:val="007F50AC"/>
    <w:rsid w:val="007F556A"/>
    <w:rsid w:val="0080258F"/>
    <w:rsid w:val="008025B3"/>
    <w:rsid w:val="00803D8C"/>
    <w:rsid w:val="0080534C"/>
    <w:rsid w:val="0081180F"/>
    <w:rsid w:val="0083480E"/>
    <w:rsid w:val="00834A0F"/>
    <w:rsid w:val="008356C8"/>
    <w:rsid w:val="00842121"/>
    <w:rsid w:val="00843AAA"/>
    <w:rsid w:val="00845E18"/>
    <w:rsid w:val="00845E60"/>
    <w:rsid w:val="00850041"/>
    <w:rsid w:val="00850224"/>
    <w:rsid w:val="008526EC"/>
    <w:rsid w:val="00864B24"/>
    <w:rsid w:val="0086573C"/>
    <w:rsid w:val="00875A92"/>
    <w:rsid w:val="00876E2E"/>
    <w:rsid w:val="008818AD"/>
    <w:rsid w:val="00892D3A"/>
    <w:rsid w:val="008A4A4F"/>
    <w:rsid w:val="008A4A68"/>
    <w:rsid w:val="008A6DFE"/>
    <w:rsid w:val="008A7F88"/>
    <w:rsid w:val="008B42F8"/>
    <w:rsid w:val="008B5B9E"/>
    <w:rsid w:val="008C06FA"/>
    <w:rsid w:val="008C57F8"/>
    <w:rsid w:val="008D5CDB"/>
    <w:rsid w:val="008E096E"/>
    <w:rsid w:val="008E273A"/>
    <w:rsid w:val="008E38A7"/>
    <w:rsid w:val="008E3B76"/>
    <w:rsid w:val="008E7C1B"/>
    <w:rsid w:val="008F26DB"/>
    <w:rsid w:val="008F51B0"/>
    <w:rsid w:val="008F609A"/>
    <w:rsid w:val="008F698E"/>
    <w:rsid w:val="008F743C"/>
    <w:rsid w:val="008F7D13"/>
    <w:rsid w:val="00900613"/>
    <w:rsid w:val="0090147D"/>
    <w:rsid w:val="00901CA6"/>
    <w:rsid w:val="00902992"/>
    <w:rsid w:val="009058D8"/>
    <w:rsid w:val="00907AE2"/>
    <w:rsid w:val="00914497"/>
    <w:rsid w:val="00914499"/>
    <w:rsid w:val="0091455D"/>
    <w:rsid w:val="0091499C"/>
    <w:rsid w:val="00915E7F"/>
    <w:rsid w:val="009202EA"/>
    <w:rsid w:val="00921173"/>
    <w:rsid w:val="00923949"/>
    <w:rsid w:val="00923AE6"/>
    <w:rsid w:val="0092400F"/>
    <w:rsid w:val="009248D2"/>
    <w:rsid w:val="009252B8"/>
    <w:rsid w:val="009261FD"/>
    <w:rsid w:val="0094500D"/>
    <w:rsid w:val="00945C52"/>
    <w:rsid w:val="00950982"/>
    <w:rsid w:val="00951037"/>
    <w:rsid w:val="009541D0"/>
    <w:rsid w:val="00957BDC"/>
    <w:rsid w:val="00961EBE"/>
    <w:rsid w:val="009620EF"/>
    <w:rsid w:val="0096567E"/>
    <w:rsid w:val="0097067E"/>
    <w:rsid w:val="00971D97"/>
    <w:rsid w:val="0097523A"/>
    <w:rsid w:val="00977ED7"/>
    <w:rsid w:val="00981874"/>
    <w:rsid w:val="00983419"/>
    <w:rsid w:val="009877BE"/>
    <w:rsid w:val="00993AA5"/>
    <w:rsid w:val="00993D42"/>
    <w:rsid w:val="00995B42"/>
    <w:rsid w:val="00996611"/>
    <w:rsid w:val="009A0D71"/>
    <w:rsid w:val="009A41A1"/>
    <w:rsid w:val="009A5947"/>
    <w:rsid w:val="009A731D"/>
    <w:rsid w:val="009B003B"/>
    <w:rsid w:val="009B2F95"/>
    <w:rsid w:val="009B532C"/>
    <w:rsid w:val="009C2713"/>
    <w:rsid w:val="009C2C74"/>
    <w:rsid w:val="009D0157"/>
    <w:rsid w:val="009D07B2"/>
    <w:rsid w:val="009D0E3E"/>
    <w:rsid w:val="009D37C0"/>
    <w:rsid w:val="009E201B"/>
    <w:rsid w:val="009E27B5"/>
    <w:rsid w:val="009E2B9D"/>
    <w:rsid w:val="009E3089"/>
    <w:rsid w:val="009E64B6"/>
    <w:rsid w:val="009E6EF9"/>
    <w:rsid w:val="009F2DFC"/>
    <w:rsid w:val="009F5409"/>
    <w:rsid w:val="009F773C"/>
    <w:rsid w:val="00A0015B"/>
    <w:rsid w:val="00A059F8"/>
    <w:rsid w:val="00A078A3"/>
    <w:rsid w:val="00A172D8"/>
    <w:rsid w:val="00A25F97"/>
    <w:rsid w:val="00A264A6"/>
    <w:rsid w:val="00A269FA"/>
    <w:rsid w:val="00A2711C"/>
    <w:rsid w:val="00A27B4A"/>
    <w:rsid w:val="00A31948"/>
    <w:rsid w:val="00A31AED"/>
    <w:rsid w:val="00A324F9"/>
    <w:rsid w:val="00A33921"/>
    <w:rsid w:val="00A369F5"/>
    <w:rsid w:val="00A41AC0"/>
    <w:rsid w:val="00A44DC3"/>
    <w:rsid w:val="00A456EC"/>
    <w:rsid w:val="00A51F91"/>
    <w:rsid w:val="00A52057"/>
    <w:rsid w:val="00A539DB"/>
    <w:rsid w:val="00A55341"/>
    <w:rsid w:val="00A56825"/>
    <w:rsid w:val="00A63B5A"/>
    <w:rsid w:val="00A6591C"/>
    <w:rsid w:val="00A6607C"/>
    <w:rsid w:val="00A70CBD"/>
    <w:rsid w:val="00A715F9"/>
    <w:rsid w:val="00A72C39"/>
    <w:rsid w:val="00A775DA"/>
    <w:rsid w:val="00A80E94"/>
    <w:rsid w:val="00A83273"/>
    <w:rsid w:val="00A835FD"/>
    <w:rsid w:val="00A84EEF"/>
    <w:rsid w:val="00A93BF5"/>
    <w:rsid w:val="00A94B8B"/>
    <w:rsid w:val="00A971E6"/>
    <w:rsid w:val="00AA2350"/>
    <w:rsid w:val="00AA4456"/>
    <w:rsid w:val="00AA599C"/>
    <w:rsid w:val="00AA6031"/>
    <w:rsid w:val="00AB7B47"/>
    <w:rsid w:val="00AC0EE8"/>
    <w:rsid w:val="00AC2503"/>
    <w:rsid w:val="00AC29BA"/>
    <w:rsid w:val="00AC54D1"/>
    <w:rsid w:val="00AD0254"/>
    <w:rsid w:val="00AD43D3"/>
    <w:rsid w:val="00AD7BB4"/>
    <w:rsid w:val="00AE3C63"/>
    <w:rsid w:val="00AE5DE6"/>
    <w:rsid w:val="00AF14E1"/>
    <w:rsid w:val="00AF5DA6"/>
    <w:rsid w:val="00AF5EF9"/>
    <w:rsid w:val="00AF70CA"/>
    <w:rsid w:val="00AF7373"/>
    <w:rsid w:val="00AF7C41"/>
    <w:rsid w:val="00B037B6"/>
    <w:rsid w:val="00B04C72"/>
    <w:rsid w:val="00B100F6"/>
    <w:rsid w:val="00B119B3"/>
    <w:rsid w:val="00B148FA"/>
    <w:rsid w:val="00B210B5"/>
    <w:rsid w:val="00B24ECB"/>
    <w:rsid w:val="00B25EEB"/>
    <w:rsid w:val="00B30776"/>
    <w:rsid w:val="00B33FFC"/>
    <w:rsid w:val="00B34202"/>
    <w:rsid w:val="00B34459"/>
    <w:rsid w:val="00B35CA8"/>
    <w:rsid w:val="00B405A6"/>
    <w:rsid w:val="00B42995"/>
    <w:rsid w:val="00B47F96"/>
    <w:rsid w:val="00B52C18"/>
    <w:rsid w:val="00B5609C"/>
    <w:rsid w:val="00B56B43"/>
    <w:rsid w:val="00B619C0"/>
    <w:rsid w:val="00B65E5F"/>
    <w:rsid w:val="00B7024B"/>
    <w:rsid w:val="00B7381B"/>
    <w:rsid w:val="00B74BEE"/>
    <w:rsid w:val="00B82381"/>
    <w:rsid w:val="00B864FA"/>
    <w:rsid w:val="00B95FDB"/>
    <w:rsid w:val="00BA05ED"/>
    <w:rsid w:val="00BA0912"/>
    <w:rsid w:val="00BA253D"/>
    <w:rsid w:val="00BA4BAB"/>
    <w:rsid w:val="00BA763D"/>
    <w:rsid w:val="00BB0270"/>
    <w:rsid w:val="00BB76E6"/>
    <w:rsid w:val="00BC08DB"/>
    <w:rsid w:val="00BC11DE"/>
    <w:rsid w:val="00BC1B54"/>
    <w:rsid w:val="00BC446F"/>
    <w:rsid w:val="00BC69B0"/>
    <w:rsid w:val="00BC7DA9"/>
    <w:rsid w:val="00BD3335"/>
    <w:rsid w:val="00BE1E6D"/>
    <w:rsid w:val="00BE37A1"/>
    <w:rsid w:val="00BE4959"/>
    <w:rsid w:val="00BE5249"/>
    <w:rsid w:val="00BF0B78"/>
    <w:rsid w:val="00BF5B0E"/>
    <w:rsid w:val="00BF7851"/>
    <w:rsid w:val="00BF7F32"/>
    <w:rsid w:val="00C0235F"/>
    <w:rsid w:val="00C02FBC"/>
    <w:rsid w:val="00C04298"/>
    <w:rsid w:val="00C04B17"/>
    <w:rsid w:val="00C05FD8"/>
    <w:rsid w:val="00C069D4"/>
    <w:rsid w:val="00C14EC9"/>
    <w:rsid w:val="00C15D99"/>
    <w:rsid w:val="00C2157B"/>
    <w:rsid w:val="00C241C9"/>
    <w:rsid w:val="00C26697"/>
    <w:rsid w:val="00C300ED"/>
    <w:rsid w:val="00C33A15"/>
    <w:rsid w:val="00C35432"/>
    <w:rsid w:val="00C35F2C"/>
    <w:rsid w:val="00C36BB1"/>
    <w:rsid w:val="00C40342"/>
    <w:rsid w:val="00C46914"/>
    <w:rsid w:val="00C47AC1"/>
    <w:rsid w:val="00C51057"/>
    <w:rsid w:val="00C56C11"/>
    <w:rsid w:val="00C5707D"/>
    <w:rsid w:val="00C57798"/>
    <w:rsid w:val="00C579F4"/>
    <w:rsid w:val="00C71927"/>
    <w:rsid w:val="00C72458"/>
    <w:rsid w:val="00C73188"/>
    <w:rsid w:val="00C73705"/>
    <w:rsid w:val="00C73ECE"/>
    <w:rsid w:val="00C7667B"/>
    <w:rsid w:val="00C7755B"/>
    <w:rsid w:val="00C80885"/>
    <w:rsid w:val="00C952B3"/>
    <w:rsid w:val="00CA0B9D"/>
    <w:rsid w:val="00CA3016"/>
    <w:rsid w:val="00CA363B"/>
    <w:rsid w:val="00CA76A9"/>
    <w:rsid w:val="00CB31F7"/>
    <w:rsid w:val="00CC0201"/>
    <w:rsid w:val="00CC0340"/>
    <w:rsid w:val="00CC192D"/>
    <w:rsid w:val="00CC4514"/>
    <w:rsid w:val="00CC54F0"/>
    <w:rsid w:val="00CD063F"/>
    <w:rsid w:val="00CD5054"/>
    <w:rsid w:val="00CD657B"/>
    <w:rsid w:val="00CD6A60"/>
    <w:rsid w:val="00CE4333"/>
    <w:rsid w:val="00CF6884"/>
    <w:rsid w:val="00D0381B"/>
    <w:rsid w:val="00D06530"/>
    <w:rsid w:val="00D11048"/>
    <w:rsid w:val="00D12E15"/>
    <w:rsid w:val="00D152B6"/>
    <w:rsid w:val="00D20643"/>
    <w:rsid w:val="00D24848"/>
    <w:rsid w:val="00D257A0"/>
    <w:rsid w:val="00D31294"/>
    <w:rsid w:val="00D3155E"/>
    <w:rsid w:val="00D32397"/>
    <w:rsid w:val="00D41C9E"/>
    <w:rsid w:val="00D441FD"/>
    <w:rsid w:val="00D450E1"/>
    <w:rsid w:val="00D5047D"/>
    <w:rsid w:val="00D50AA9"/>
    <w:rsid w:val="00D519FC"/>
    <w:rsid w:val="00D60B8B"/>
    <w:rsid w:val="00D65D10"/>
    <w:rsid w:val="00D70909"/>
    <w:rsid w:val="00D83380"/>
    <w:rsid w:val="00D90E43"/>
    <w:rsid w:val="00DA00CD"/>
    <w:rsid w:val="00DA11DE"/>
    <w:rsid w:val="00DA46F3"/>
    <w:rsid w:val="00DB69B8"/>
    <w:rsid w:val="00DB6A97"/>
    <w:rsid w:val="00DB7974"/>
    <w:rsid w:val="00DD01F0"/>
    <w:rsid w:val="00DD0AC4"/>
    <w:rsid w:val="00DD298D"/>
    <w:rsid w:val="00DD299B"/>
    <w:rsid w:val="00DD44F2"/>
    <w:rsid w:val="00DD4BDB"/>
    <w:rsid w:val="00DD5CCC"/>
    <w:rsid w:val="00DD7D01"/>
    <w:rsid w:val="00DE157F"/>
    <w:rsid w:val="00DE25F6"/>
    <w:rsid w:val="00DE3999"/>
    <w:rsid w:val="00DE62FB"/>
    <w:rsid w:val="00DF1FBB"/>
    <w:rsid w:val="00DF462F"/>
    <w:rsid w:val="00DF5967"/>
    <w:rsid w:val="00E00668"/>
    <w:rsid w:val="00E013A8"/>
    <w:rsid w:val="00E02EEE"/>
    <w:rsid w:val="00E07D49"/>
    <w:rsid w:val="00E12D0A"/>
    <w:rsid w:val="00E13B5C"/>
    <w:rsid w:val="00E15BFD"/>
    <w:rsid w:val="00E23E32"/>
    <w:rsid w:val="00E31862"/>
    <w:rsid w:val="00E321E8"/>
    <w:rsid w:val="00E340D7"/>
    <w:rsid w:val="00E36B3A"/>
    <w:rsid w:val="00E36FAA"/>
    <w:rsid w:val="00E40888"/>
    <w:rsid w:val="00E40B3D"/>
    <w:rsid w:val="00E43BF8"/>
    <w:rsid w:val="00E47E4B"/>
    <w:rsid w:val="00E50AF7"/>
    <w:rsid w:val="00E52C1F"/>
    <w:rsid w:val="00E57529"/>
    <w:rsid w:val="00E60A50"/>
    <w:rsid w:val="00E72BF8"/>
    <w:rsid w:val="00E73CD4"/>
    <w:rsid w:val="00E74D77"/>
    <w:rsid w:val="00E77E53"/>
    <w:rsid w:val="00E80220"/>
    <w:rsid w:val="00E82B0B"/>
    <w:rsid w:val="00E96C9C"/>
    <w:rsid w:val="00EA7850"/>
    <w:rsid w:val="00EB435D"/>
    <w:rsid w:val="00EB48C9"/>
    <w:rsid w:val="00EC1A13"/>
    <w:rsid w:val="00EC2837"/>
    <w:rsid w:val="00EC3444"/>
    <w:rsid w:val="00EC7DD7"/>
    <w:rsid w:val="00ED012D"/>
    <w:rsid w:val="00ED1162"/>
    <w:rsid w:val="00EE4028"/>
    <w:rsid w:val="00EE5725"/>
    <w:rsid w:val="00EE5B1A"/>
    <w:rsid w:val="00EF1CE3"/>
    <w:rsid w:val="00EF3152"/>
    <w:rsid w:val="00F048D8"/>
    <w:rsid w:val="00F06E9C"/>
    <w:rsid w:val="00F108B1"/>
    <w:rsid w:val="00F1126F"/>
    <w:rsid w:val="00F159D8"/>
    <w:rsid w:val="00F1796F"/>
    <w:rsid w:val="00F226D5"/>
    <w:rsid w:val="00F272EE"/>
    <w:rsid w:val="00F2759B"/>
    <w:rsid w:val="00F30021"/>
    <w:rsid w:val="00F34627"/>
    <w:rsid w:val="00F34A36"/>
    <w:rsid w:val="00F36FF6"/>
    <w:rsid w:val="00F3785E"/>
    <w:rsid w:val="00F421FF"/>
    <w:rsid w:val="00F443F5"/>
    <w:rsid w:val="00F50DFC"/>
    <w:rsid w:val="00F55ECA"/>
    <w:rsid w:val="00F65445"/>
    <w:rsid w:val="00F65ADD"/>
    <w:rsid w:val="00F70410"/>
    <w:rsid w:val="00F7197B"/>
    <w:rsid w:val="00F74D14"/>
    <w:rsid w:val="00F82573"/>
    <w:rsid w:val="00F83DD8"/>
    <w:rsid w:val="00F9357D"/>
    <w:rsid w:val="00FA3DA7"/>
    <w:rsid w:val="00FA4C7B"/>
    <w:rsid w:val="00FA6997"/>
    <w:rsid w:val="00FB49C2"/>
    <w:rsid w:val="00FB6B03"/>
    <w:rsid w:val="00FB797D"/>
    <w:rsid w:val="00FC065E"/>
    <w:rsid w:val="00FC0B80"/>
    <w:rsid w:val="00FC3DD2"/>
    <w:rsid w:val="00FD63B0"/>
    <w:rsid w:val="00FD6CEC"/>
    <w:rsid w:val="00FE1B28"/>
    <w:rsid w:val="00FF5AC4"/>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55703"/>
  <w15:chartTrackingRefBased/>
  <w15:docId w15:val="{75F5780B-6FCE-4B14-A579-E2B00424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E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en-GB"/>
    </w:rPr>
  </w:style>
  <w:style w:type="paragraph" w:styleId="Heading1">
    <w:name w:val="heading 1"/>
    <w:basedOn w:val="Normal"/>
    <w:next w:val="Normal"/>
    <w:link w:val="Heading1Char"/>
    <w:uiPriority w:val="9"/>
    <w:qFormat/>
    <w:rsid w:val="00B33FFC"/>
    <w:pPr>
      <w:keepNext/>
      <w:keepLines/>
      <w:spacing w:before="240"/>
      <w:outlineLvl w:val="0"/>
    </w:pPr>
    <w:rPr>
      <w:rFonts w:eastAsiaTheme="majorEastAsia"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96567E"/>
    <w:pPr>
      <w:outlineLvl w:val="1"/>
    </w:pPr>
    <w:rPr>
      <w:b/>
      <w:i/>
    </w:rPr>
  </w:style>
  <w:style w:type="paragraph" w:styleId="Heading3">
    <w:name w:val="heading 3"/>
    <w:basedOn w:val="Normal"/>
    <w:next w:val="Normal"/>
    <w:link w:val="Heading3Char"/>
    <w:uiPriority w:val="9"/>
    <w:semiHidden/>
    <w:unhideWhenUsed/>
    <w:qFormat/>
    <w:rsid w:val="0051469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200"/>
    <w:pPr>
      <w:widowControl/>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5B2200"/>
  </w:style>
  <w:style w:type="paragraph" w:styleId="Footer">
    <w:name w:val="footer"/>
    <w:basedOn w:val="Normal"/>
    <w:link w:val="FooterChar"/>
    <w:uiPriority w:val="99"/>
    <w:unhideWhenUsed/>
    <w:rsid w:val="005B2200"/>
    <w:pPr>
      <w:widowControl/>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5B2200"/>
  </w:style>
  <w:style w:type="paragraph" w:customStyle="1" w:styleId="Style24ptBoldCentered">
    <w:name w:val="Style 24 pt Bold Centered"/>
    <w:basedOn w:val="Normal"/>
    <w:rsid w:val="005B2200"/>
    <w:pPr>
      <w:jc w:val="center"/>
    </w:pPr>
    <w:rPr>
      <w:b/>
      <w:bCs/>
      <w:sz w:val="48"/>
    </w:rPr>
  </w:style>
  <w:style w:type="paragraph" w:styleId="NoSpacing">
    <w:name w:val="No Spacing"/>
    <w:uiPriority w:val="1"/>
    <w:qFormat/>
    <w:rsid w:val="00B74BE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n-GB"/>
    </w:rPr>
  </w:style>
  <w:style w:type="character" w:customStyle="1" w:styleId="Heading1Char">
    <w:name w:val="Heading 1 Char"/>
    <w:basedOn w:val="DefaultParagraphFont"/>
    <w:link w:val="Heading1"/>
    <w:uiPriority w:val="9"/>
    <w:rsid w:val="00B33FFC"/>
    <w:rPr>
      <w:rFonts w:ascii="Arial" w:eastAsiaTheme="majorEastAsia" w:hAnsi="Arial" w:cstheme="majorBidi"/>
      <w:b/>
      <w:color w:val="2F5496" w:themeColor="accent1" w:themeShade="BF"/>
      <w:szCs w:val="32"/>
      <w:lang w:val="en-US" w:eastAsia="en-GB"/>
    </w:rPr>
  </w:style>
  <w:style w:type="table" w:styleId="TableGrid">
    <w:name w:val="Table Grid"/>
    <w:basedOn w:val="TableNormal"/>
    <w:uiPriority w:val="39"/>
    <w:rsid w:val="00B3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33F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4733F"/>
    <w:pPr>
      <w:widowControl/>
      <w:overflowPunct/>
      <w:autoSpaceDE/>
      <w:autoSpaceDN/>
      <w:adjustRightInd/>
      <w:spacing w:line="259" w:lineRule="auto"/>
      <w:textAlignment w:val="auto"/>
      <w:outlineLvl w:val="9"/>
    </w:pPr>
    <w:rPr>
      <w:rFonts w:asciiTheme="majorHAnsi" w:hAnsiTheme="majorHAnsi"/>
      <w:b w:val="0"/>
      <w:sz w:val="32"/>
      <w:lang w:eastAsia="en-US"/>
    </w:rPr>
  </w:style>
  <w:style w:type="paragraph" w:styleId="TOC1">
    <w:name w:val="toc 1"/>
    <w:basedOn w:val="Normal"/>
    <w:next w:val="Normal"/>
    <w:autoRedefine/>
    <w:uiPriority w:val="39"/>
    <w:unhideWhenUsed/>
    <w:rsid w:val="0064733F"/>
    <w:pPr>
      <w:spacing w:after="100"/>
    </w:pPr>
  </w:style>
  <w:style w:type="character" w:styleId="Hyperlink">
    <w:name w:val="Hyperlink"/>
    <w:basedOn w:val="DefaultParagraphFont"/>
    <w:uiPriority w:val="99"/>
    <w:unhideWhenUsed/>
    <w:rsid w:val="0064733F"/>
    <w:rPr>
      <w:color w:val="0563C1" w:themeColor="hyperlink"/>
      <w:u w:val="single"/>
    </w:rPr>
  </w:style>
  <w:style w:type="character" w:customStyle="1" w:styleId="Heading2Char">
    <w:name w:val="Heading 2 Char"/>
    <w:basedOn w:val="DefaultParagraphFont"/>
    <w:link w:val="Heading2"/>
    <w:uiPriority w:val="9"/>
    <w:rsid w:val="0096567E"/>
    <w:rPr>
      <w:rFonts w:ascii="Arial" w:eastAsia="Times New Roman" w:hAnsi="Arial" w:cs="Times New Roman"/>
      <w:b/>
      <w:i/>
      <w:sz w:val="20"/>
      <w:szCs w:val="20"/>
      <w:lang w:val="en-US" w:eastAsia="en-GB"/>
    </w:rPr>
  </w:style>
  <w:style w:type="paragraph" w:styleId="TOC2">
    <w:name w:val="toc 2"/>
    <w:basedOn w:val="Normal"/>
    <w:next w:val="Normal"/>
    <w:autoRedefine/>
    <w:uiPriority w:val="39"/>
    <w:unhideWhenUsed/>
    <w:rsid w:val="00F82573"/>
    <w:pPr>
      <w:spacing w:after="100"/>
      <w:ind w:left="200"/>
    </w:pPr>
  </w:style>
  <w:style w:type="paragraph" w:styleId="ListParagraph">
    <w:name w:val="List Paragraph"/>
    <w:basedOn w:val="Normal"/>
    <w:uiPriority w:val="34"/>
    <w:qFormat/>
    <w:rsid w:val="00A41AC0"/>
    <w:pPr>
      <w:ind w:left="720"/>
      <w:contextualSpacing/>
    </w:pPr>
  </w:style>
  <w:style w:type="character" w:styleId="UnresolvedMention">
    <w:name w:val="Unresolved Mention"/>
    <w:basedOn w:val="DefaultParagraphFont"/>
    <w:uiPriority w:val="99"/>
    <w:semiHidden/>
    <w:unhideWhenUsed/>
    <w:rsid w:val="00E82B0B"/>
    <w:rPr>
      <w:color w:val="605E5C"/>
      <w:shd w:val="clear" w:color="auto" w:fill="E1DFDD"/>
    </w:rPr>
  </w:style>
  <w:style w:type="character" w:customStyle="1" w:styleId="Heading3Char">
    <w:name w:val="Heading 3 Char"/>
    <w:basedOn w:val="DefaultParagraphFont"/>
    <w:link w:val="Heading3"/>
    <w:uiPriority w:val="9"/>
    <w:semiHidden/>
    <w:rsid w:val="0051469C"/>
    <w:rPr>
      <w:rFonts w:asciiTheme="majorHAnsi" w:eastAsiaTheme="majorEastAsia" w:hAnsiTheme="majorHAnsi" w:cstheme="majorBidi"/>
      <w:color w:val="1F3763" w:themeColor="accent1" w:themeShade="7F"/>
      <w:sz w:val="24"/>
      <w:szCs w:val="24"/>
      <w:lang w:val="en-US" w:eastAsia="en-GB"/>
    </w:rPr>
  </w:style>
  <w:style w:type="paragraph" w:styleId="NormalWeb">
    <w:name w:val="Normal (Web)"/>
    <w:basedOn w:val="Normal"/>
    <w:uiPriority w:val="99"/>
    <w:semiHidden/>
    <w:unhideWhenUsed/>
    <w:rsid w:val="0051469C"/>
    <w:pPr>
      <w:widowControl/>
      <w:overflowPunct/>
      <w:autoSpaceDE/>
      <w:autoSpaceDN/>
      <w:adjustRightInd/>
      <w:spacing w:before="100" w:beforeAutospacing="1" w:after="100" w:afterAutospacing="1"/>
      <w:jc w:val="left"/>
      <w:textAlignment w:val="auto"/>
    </w:pPr>
    <w:rPr>
      <w:rFonts w:ascii="Times New Roman" w:hAnsi="Times New Roman"/>
      <w:sz w:val="24"/>
      <w:szCs w:val="24"/>
      <w:lang w:val="en-GB"/>
    </w:rPr>
  </w:style>
  <w:style w:type="table" w:customStyle="1" w:styleId="TableGrid1">
    <w:name w:val="Table Grid1"/>
    <w:basedOn w:val="TableNormal"/>
    <w:next w:val="TableGrid"/>
    <w:uiPriority w:val="39"/>
    <w:rsid w:val="0062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0D7"/>
    <w:rPr>
      <w:rFonts w:ascii="Segoe UI" w:eastAsia="Times New Roman" w:hAnsi="Segoe UI" w:cs="Segoe UI"/>
      <w:sz w:val="18"/>
      <w:szCs w:val="18"/>
      <w:lang w:val="en-US" w:eastAsia="en-GB"/>
    </w:rPr>
  </w:style>
  <w:style w:type="paragraph" w:styleId="FootnoteText">
    <w:name w:val="footnote text"/>
    <w:basedOn w:val="Normal"/>
    <w:link w:val="FootnoteTextChar"/>
    <w:uiPriority w:val="99"/>
    <w:semiHidden/>
    <w:unhideWhenUsed/>
    <w:rsid w:val="00E340D7"/>
  </w:style>
  <w:style w:type="character" w:customStyle="1" w:styleId="FootnoteTextChar">
    <w:name w:val="Footnote Text Char"/>
    <w:basedOn w:val="DefaultParagraphFont"/>
    <w:link w:val="FootnoteText"/>
    <w:uiPriority w:val="99"/>
    <w:semiHidden/>
    <w:rsid w:val="00E340D7"/>
    <w:rPr>
      <w:rFonts w:ascii="Arial" w:eastAsia="Times New Roman" w:hAnsi="Arial" w:cs="Times New Roman"/>
      <w:sz w:val="20"/>
      <w:szCs w:val="20"/>
      <w:lang w:val="en-US" w:eastAsia="en-GB"/>
    </w:rPr>
  </w:style>
  <w:style w:type="character" w:styleId="FootnoteReference">
    <w:name w:val="footnote reference"/>
    <w:basedOn w:val="DefaultParagraphFont"/>
    <w:uiPriority w:val="99"/>
    <w:semiHidden/>
    <w:unhideWhenUsed/>
    <w:rsid w:val="00E340D7"/>
    <w:rPr>
      <w:vertAlign w:val="superscript"/>
    </w:rPr>
  </w:style>
  <w:style w:type="paragraph" w:styleId="BodyText">
    <w:name w:val="Body Text"/>
    <w:basedOn w:val="Normal"/>
    <w:link w:val="BodyTextChar"/>
    <w:uiPriority w:val="1"/>
    <w:qFormat/>
    <w:rsid w:val="00CC54F0"/>
    <w:pPr>
      <w:overflowPunct/>
      <w:adjustRightInd/>
      <w:jc w:val="left"/>
      <w:textAlignment w:val="auto"/>
    </w:pPr>
    <w:rPr>
      <w:rFonts w:eastAsia="Arial" w:cs="Arial"/>
      <w:lang w:val="en-GB" w:eastAsia="en-US"/>
    </w:rPr>
  </w:style>
  <w:style w:type="character" w:customStyle="1" w:styleId="BodyTextChar">
    <w:name w:val="Body Text Char"/>
    <w:basedOn w:val="DefaultParagraphFont"/>
    <w:link w:val="BodyText"/>
    <w:uiPriority w:val="1"/>
    <w:rsid w:val="00CC54F0"/>
    <w:rPr>
      <w:rFonts w:ascii="Arial" w:eastAsia="Arial" w:hAnsi="Arial" w:cs="Arial"/>
      <w:sz w:val="20"/>
      <w:szCs w:val="20"/>
    </w:rPr>
  </w:style>
  <w:style w:type="paragraph" w:customStyle="1" w:styleId="TableParagraph">
    <w:name w:val="Table Paragraph"/>
    <w:basedOn w:val="Normal"/>
    <w:uiPriority w:val="1"/>
    <w:qFormat/>
    <w:rsid w:val="000C522D"/>
    <w:pPr>
      <w:overflowPunct/>
      <w:adjustRightInd/>
      <w:spacing w:line="210" w:lineRule="exact"/>
      <w:ind w:left="107"/>
      <w:jc w:val="left"/>
      <w:textAlignment w:val="auto"/>
    </w:pPr>
    <w:rPr>
      <w:rFonts w:eastAsia="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02127">
      <w:bodyDiv w:val="1"/>
      <w:marLeft w:val="0"/>
      <w:marRight w:val="0"/>
      <w:marTop w:val="0"/>
      <w:marBottom w:val="0"/>
      <w:divBdr>
        <w:top w:val="none" w:sz="0" w:space="0" w:color="auto"/>
        <w:left w:val="none" w:sz="0" w:space="0" w:color="auto"/>
        <w:bottom w:val="none" w:sz="0" w:space="0" w:color="auto"/>
        <w:right w:val="none" w:sz="0" w:space="0" w:color="auto"/>
      </w:divBdr>
    </w:div>
    <w:div w:id="752092844">
      <w:bodyDiv w:val="1"/>
      <w:marLeft w:val="0"/>
      <w:marRight w:val="0"/>
      <w:marTop w:val="0"/>
      <w:marBottom w:val="0"/>
      <w:divBdr>
        <w:top w:val="none" w:sz="0" w:space="0" w:color="auto"/>
        <w:left w:val="none" w:sz="0" w:space="0" w:color="auto"/>
        <w:bottom w:val="none" w:sz="0" w:space="0" w:color="auto"/>
        <w:right w:val="none" w:sz="0" w:space="0" w:color="auto"/>
      </w:divBdr>
    </w:div>
    <w:div w:id="902646488">
      <w:bodyDiv w:val="1"/>
      <w:marLeft w:val="0"/>
      <w:marRight w:val="0"/>
      <w:marTop w:val="0"/>
      <w:marBottom w:val="0"/>
      <w:divBdr>
        <w:top w:val="none" w:sz="0" w:space="0" w:color="auto"/>
        <w:left w:val="none" w:sz="0" w:space="0" w:color="auto"/>
        <w:bottom w:val="none" w:sz="0" w:space="0" w:color="auto"/>
        <w:right w:val="none" w:sz="0" w:space="0" w:color="auto"/>
      </w:divBdr>
    </w:div>
    <w:div w:id="1338967413">
      <w:bodyDiv w:val="1"/>
      <w:marLeft w:val="0"/>
      <w:marRight w:val="0"/>
      <w:marTop w:val="0"/>
      <w:marBottom w:val="0"/>
      <w:divBdr>
        <w:top w:val="none" w:sz="0" w:space="0" w:color="auto"/>
        <w:left w:val="none" w:sz="0" w:space="0" w:color="auto"/>
        <w:bottom w:val="none" w:sz="0" w:space="0" w:color="auto"/>
        <w:right w:val="none" w:sz="0" w:space="0" w:color="auto"/>
      </w:divBdr>
    </w:div>
    <w:div w:id="1392919034">
      <w:bodyDiv w:val="1"/>
      <w:marLeft w:val="0"/>
      <w:marRight w:val="0"/>
      <w:marTop w:val="0"/>
      <w:marBottom w:val="0"/>
      <w:divBdr>
        <w:top w:val="none" w:sz="0" w:space="0" w:color="auto"/>
        <w:left w:val="none" w:sz="0" w:space="0" w:color="auto"/>
        <w:bottom w:val="none" w:sz="0" w:space="0" w:color="auto"/>
        <w:right w:val="none" w:sz="0" w:space="0" w:color="auto"/>
      </w:divBdr>
    </w:div>
    <w:div w:id="1417745166">
      <w:bodyDiv w:val="1"/>
      <w:marLeft w:val="0"/>
      <w:marRight w:val="0"/>
      <w:marTop w:val="0"/>
      <w:marBottom w:val="0"/>
      <w:divBdr>
        <w:top w:val="none" w:sz="0" w:space="0" w:color="auto"/>
        <w:left w:val="none" w:sz="0" w:space="0" w:color="auto"/>
        <w:bottom w:val="none" w:sz="0" w:space="0" w:color="auto"/>
        <w:right w:val="none" w:sz="0" w:space="0" w:color="auto"/>
      </w:divBdr>
    </w:div>
    <w:div w:id="1910384106">
      <w:bodyDiv w:val="1"/>
      <w:marLeft w:val="0"/>
      <w:marRight w:val="0"/>
      <w:marTop w:val="0"/>
      <w:marBottom w:val="0"/>
      <w:divBdr>
        <w:top w:val="none" w:sz="0" w:space="0" w:color="auto"/>
        <w:left w:val="none" w:sz="0" w:space="0" w:color="auto"/>
        <w:bottom w:val="none" w:sz="0" w:space="0" w:color="auto"/>
        <w:right w:val="none" w:sz="0" w:space="0" w:color="auto"/>
      </w:divBdr>
    </w:div>
    <w:div w:id="19698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Miller@ardonaghspecial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loyds.com/market-resources/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F5BD-851F-4095-B2D7-3618846C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2140</Words>
  <Characters>12200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Edward Bergson</cp:lastModifiedBy>
  <cp:revision>2</cp:revision>
  <dcterms:created xsi:type="dcterms:W3CDTF">2024-07-03T12:29:00Z</dcterms:created>
  <dcterms:modified xsi:type="dcterms:W3CDTF">2024-07-03T12:29:00Z</dcterms:modified>
</cp:coreProperties>
</file>